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540.xml.htm"/>
      <w:bookmarkStart w:id="1" w:name="kswkform4_17894215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Pierce 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SOLSTICE ADVANCED MATERIALS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TABOR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 PLAINS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Solstice Advanced Materials Inc.</w:t>
              </w:r>
            </w:hyperlink>
            <w:r>
              <w:rPr/>
              <w:t xml:space="preserve"> [ </w:t>
            </w:r>
            <w:r>
              <w:rPr>
                <w:rFonts w:ascii="Times;serif" w:hAnsi="Times;serif"/>
                <w:color w:val="0000FF"/>
                <w:sz w:val="24"/>
                <w:shd w:fill="FFFFFF" w:val="clear"/>
              </w:rPr>
              <w:t>SOLS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11,394</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8,636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46.79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50.59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Solstice Advanced Materials Inc. (the "Issuer") common stock. Fractional amounts have been rounded to the nearest whole number.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in connection with the Issuer's dividend that accrue to the reporting person in RSUs that vest at the same times as the underlying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equal installments on each of October 30, 2028 and October 30,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will vest on July 29,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will vest on March 1, 2027,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2,996 on May 20, 2026, 2,992 on May 20, 2027 and 3,087 on May 20, 2028 (in each case, not including dividend equivalent rights),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will vest on March 3, 2028,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RSUs will vest 33% on each of February 24, 2027 and February 24, 2028, and 34% on February 24, 2029,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Options vest and become exercisable in equal installments on each of February 23, 2026 and February 23,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Options vest and become exercisable in three equal installments on each of March 1, 2026, March 1, 2027 and March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Options vest and become exercisable in four equal installments on each of March 3, 2026, March 3, 2027, March 3, 2028 and March 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Shah for Tina Pierce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446" TargetMode="External"/><Relationship Id="rId5" Type="http://schemas.openxmlformats.org/officeDocument/2006/relationships/hyperlink" Target="http://www.sec.gov/cgi-bin/browse-edgar?action=getcompany&amp;CIK=0002064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964</Words>
  <Characters>4960</Characters>
  <CharactersWithSpaces>5745</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