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271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71135"/>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Barresi John 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80"/>
        <w:spacing w:after="0" w:line="348" w:lineRule="auto"/>
        <w:rPr>
          <w:sz w:val="20"/>
          <w:szCs w:val="20"/>
          <w:color w:val="auto"/>
        </w:rPr>
      </w:pPr>
      <w:r>
        <w:rPr>
          <w:rFonts w:ascii="Times New Roman" w:cs="Times New Roman" w:eastAsia="Times New Roman" w:hAnsi="Times New Roman"/>
          <w:sz w:val="17"/>
          <w:szCs w:val="17"/>
          <w:color w:val="0000FF"/>
        </w:rPr>
        <w:t>C/O SOLSTICE ADVANCED MATERIALS INC. 115 TABOR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MORRIS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07950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PLAINS</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Solstice Advanced Materials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SOLS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40" w:type="dxa"/>
            <w:vAlign w:val="bottom"/>
            <w:tcBorders>
              <w:top w:val="single" w:sz="8" w:color="0000EE"/>
            </w:tcBorders>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3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128"/>
        </w:trPr>
        <w:tc>
          <w:tcPr>
            <w:tcW w:w="2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840" w:type="dxa"/>
            <w:vAlign w:val="bottom"/>
            <w:gridSpan w:val="3"/>
            <w:vMerge w:val="continue"/>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50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0000FF"/>
              </w:rPr>
              <w:t>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9"/>
              <w:spacing w:after="0" w:line="144"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jc w:val="right"/>
              <w:ind w:right="44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right"/>
              <w:ind w:right="260"/>
              <w:spacing w:after="0" w:line="144" w:lineRule="exact"/>
              <w:rPr>
                <w:sz w:val="20"/>
                <w:szCs w:val="20"/>
                <w:color w:val="auto"/>
              </w:rPr>
            </w:pPr>
            <w:r>
              <w:rPr>
                <w:rFonts w:ascii="Times New Roman" w:cs="Times New Roman" w:eastAsia="Times New Roman" w:hAnsi="Times New Roman"/>
                <w:sz w:val="13"/>
                <w:szCs w:val="13"/>
                <w:color w:val="0000FF"/>
              </w:rPr>
              <w:t>3,565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134"/>
              <w:spacing w:after="0"/>
              <w:rPr>
                <w:sz w:val="20"/>
                <w:szCs w:val="20"/>
                <w:color w:val="auto"/>
              </w:rPr>
            </w:pPr>
            <w:r>
              <w:rPr>
                <w:rFonts w:ascii="Times New Roman" w:cs="Times New Roman" w:eastAsia="Times New Roman" w:hAnsi="Times New Roman"/>
                <w:sz w:val="17"/>
                <w:szCs w:val="17"/>
                <w:color w:val="0000FF"/>
              </w:rPr>
              <w:t>23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9"/>
              <w:spacing w:after="0" w:line="144"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jc w:val="right"/>
              <w:ind w:right="400"/>
              <w:spacing w:after="0" w:line="144" w:lineRule="exact"/>
              <w:rPr>
                <w:sz w:val="20"/>
                <w:szCs w:val="20"/>
                <w:color w:val="auto"/>
              </w:rPr>
            </w:pPr>
            <w:r>
              <w:rPr>
                <w:rFonts w:ascii="Times New Roman" w:cs="Times New Roman" w:eastAsia="Times New Roman" w:hAnsi="Times New Roman"/>
                <w:sz w:val="13"/>
                <w:szCs w:val="13"/>
                <w:color w:val="0000FF"/>
              </w:rPr>
              <w:t>23</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right"/>
              <w:ind w:right="220"/>
              <w:spacing w:after="0" w:line="144" w:lineRule="exact"/>
              <w:rPr>
                <w:sz w:val="20"/>
                <w:szCs w:val="20"/>
                <w:color w:val="auto"/>
              </w:rPr>
            </w:pPr>
            <w:r>
              <w:rPr>
                <w:rFonts w:ascii="Times New Roman" w:cs="Times New Roman" w:eastAsia="Times New Roman" w:hAnsi="Times New Roman"/>
                <w:sz w:val="13"/>
                <w:szCs w:val="13"/>
                <w:color w:val="0000FF"/>
              </w:rPr>
              <w:t>24,573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Solstice Advanced Materials Inc. (the "Issuer") common stock. Fractional amounts have been rounded to the nearest whole number.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in connection with the Issuer's dividend that accrue to the reporting person in RSUs that vest at the same times as the underlying RSUs.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33% on each of February 24, 2027 and February 24, 2028, and 34% on February 24, 2029, subject to continued employment.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8,584 on June 16, 2026, 8,584 on June 16, 2027 and 7,357 on June 16, 2028 (in each case, not including dividend equivalent rights), subject to continued employment.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Jay Shah for John S. Barresi 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888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4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8223" TargetMode="External"/><Relationship Id="rId14" Type="http://schemas.openxmlformats.org/officeDocument/2006/relationships/hyperlink" Target="http://www.sec.gov/cgi-bin/browse-edgar?action=getcompany&amp;CIK=0002064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2026-06-12T16:21:37Z</dcterms:created>
  <dcterms:modified xsi:type="dcterms:W3CDTF">2026-06-12T16:21:37Z</dcterms:modified>
</cp:coreProperties>
</file>