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UNITED STATES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SECURITIES AND EXCHANGE COMMISSION</w:t>
      </w:r>
    </w:p>
    <w:p>
      <w:pPr>
        <w:pStyle w:val="TextBody"/>
        <w:bidi w:val="0"/>
        <w:spacing w:lineRule="auto" w:line="288" w:before="0" w:after="18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 July 17, 2026</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(Date of earliest event reported)</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SOLSTICE ADVANCED MATERIALS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392" w:type="dxa"/>
        <w:jc w:val="left"/>
        <w:tblInd w:w="0" w:type="dxa"/>
        <w:tblLayout w:type="fixed"/>
        <w:tblCellMar>
          <w:top w:w="28" w:type="dxa"/>
          <w:left w:w="28" w:type="dxa"/>
          <w:bottom w:w="28" w:type="dxa"/>
          <w:right w:w="28" w:type="dxa"/>
        </w:tblCellMar>
      </w:tblPr>
      <w:tblGrid>
        <w:gridCol w:w="889"/>
        <w:gridCol w:w="781"/>
        <w:gridCol w:w="789"/>
        <w:gridCol w:w="762"/>
        <w:gridCol w:w="762"/>
        <w:gridCol w:w="770"/>
        <w:gridCol w:w="770"/>
        <w:gridCol w:w="770"/>
        <w:gridCol w:w="1099"/>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001-42812</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33-2919563</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br/>
              <w:t>Number)</w:t>
            </w:r>
          </w:p>
        </w:tc>
      </w:tr>
    </w:tbl>
    <w:tbl>
      <w:tblPr>
        <w:tblW w:w="4335" w:type="dxa"/>
        <w:jc w:val="left"/>
        <w:tblInd w:w="0" w:type="dxa"/>
        <w:tblLayout w:type="fixed"/>
        <w:tblCellMar>
          <w:top w:w="28" w:type="dxa"/>
          <w:left w:w="28" w:type="dxa"/>
          <w:bottom w:w="28" w:type="dxa"/>
          <w:right w:w="28" w:type="dxa"/>
        </w:tblCellMar>
      </w:tblPr>
      <w:tblGrid>
        <w:gridCol w:w="1192"/>
        <w:gridCol w:w="1048"/>
        <w:gridCol w:w="1060"/>
        <w:gridCol w:w="303"/>
        <w:gridCol w:w="303"/>
        <w:gridCol w:w="429"/>
      </w:tblGrid>
      <w:tr>
        <w:trPr/>
        <w:tc>
          <w:tcPr>
            <w:tcW w:w="119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 Tabor Road</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Morris Plains, New Jersey</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07950</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(973) 370-8188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Pre-commencement communications pursuant to Rule 13e-4(c) under the Exchange Act (17 CFR 240.13e-4(c))</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99" w:type="dxa"/>
        <w:jc w:val="left"/>
        <w:tblInd w:w="0" w:type="dxa"/>
        <w:tblLayout w:type="fixed"/>
        <w:tblCellMar>
          <w:top w:w="28" w:type="dxa"/>
          <w:left w:w="28" w:type="dxa"/>
          <w:bottom w:w="28" w:type="dxa"/>
          <w:right w:w="28" w:type="dxa"/>
        </w:tblCellMar>
      </w:tblPr>
      <w:tblGrid>
        <w:gridCol w:w="435"/>
        <w:gridCol w:w="382"/>
        <w:gridCol w:w="382"/>
        <w:gridCol w:w="382"/>
        <w:gridCol w:w="382"/>
        <w:gridCol w:w="382"/>
        <w:gridCol w:w="382"/>
        <w:gridCol w:w="382"/>
        <w:gridCol w:w="38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83"/>
        <w:gridCol w:w="283"/>
        <w:gridCol w:w="283"/>
        <w:gridCol w:w="283"/>
        <w:gridCol w:w="283"/>
        <w:gridCol w:w="283"/>
        <w:gridCol w:w="283"/>
        <w:gridCol w:w="283"/>
        <w:gridCol w:w="401"/>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4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4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SOLS</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jc w:val="center"/>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17, 2026, Solstice Advanced Materials Inc. (the “Company”) announced that the Board of Directors declared a quarterly dividend of $0.075 per share of the Company’s common stock, payable on Thursday, September 10, 2026, to shareowners of record of the Company’s common stock as of the close of business on Thursday, August 27, 2026.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press release announcing the quarterly cash dividend is filed as </w:t>
      </w:r>
      <w:hyperlink w:anchor="exhibit991-dividendrelease.htm">
        <w:r>
          <w:rPr>
            <w:rStyle w:val="InternetLink"/>
            <w:rFonts w:ascii="Times New Roman;serif" w:hAnsi="Times New Roman;serif"/>
            <w:b w:val="false"/>
            <w:color w:val="0000FF"/>
            <w:sz w:val="20"/>
            <w:u w:val="single"/>
          </w:rPr>
          <w:t>Exhibit 99.1</w:t>
        </w:r>
      </w:hyperlink>
      <w:r>
        <w:rPr>
          <w:color w:val="000000"/>
        </w:rPr>
        <w:t xml:space="preserve"> </w:t>
      </w:r>
      <w:r>
        <w:rPr>
          <w:rFonts w:ascii="Times New Roman;serif" w:hAnsi="Times New Roman;serif"/>
          <w:b w:val="false"/>
          <w:color w:val="000000"/>
          <w:sz w:val="20"/>
        </w:rPr>
        <w:t>to this Current Report on Form 8-K and is incorporated herein by reference.</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this report: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6"/>
        <w:gridCol w:w="340"/>
        <w:gridCol w:w="341"/>
        <w:gridCol w:w="109"/>
        <w:gridCol w:w="109"/>
        <w:gridCol w:w="109"/>
        <w:gridCol w:w="2565"/>
        <w:gridCol w:w="2562"/>
        <w:gridCol w:w="3684"/>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3684"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r>
      <w:tr>
        <w:trPr/>
        <w:tc>
          <w:tcPr>
            <w:tcW w:w="10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991-dividendrelease.htm">
              <w:r>
                <w:rPr>
                  <w:rStyle w:val="InternetLink"/>
                  <w:rFonts w:ascii="Times New Roman;serif" w:hAnsi="Times New Roman;serif"/>
                  <w:b w:val="false"/>
                  <w:color w:val="0000FF"/>
                  <w:sz w:val="20"/>
                  <w:u w:val="single"/>
                </w:rPr>
                <w:t>Solstice Advanced Materials Inc. Dividend Press Release dated July 17, 2026.</w:t>
              </w:r>
            </w:hyperlink>
            <w:r>
              <w:rPr>
                <w:color w:val="000000"/>
              </w:rPr>
              <w:t xml:space="preserve"> </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086"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605"/>
        <w:gridCol w:w="605"/>
        <w:gridCol w:w="605"/>
        <w:gridCol w:w="1502"/>
        <w:gridCol w:w="1502"/>
        <w:gridCol w:w="21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SOLSTICE ADVANCED MATERIALS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Rudick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Brian Rudick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&amp;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891" w:type="dxa"/>
        <w:jc w:val="left"/>
        <w:tblInd w:w="0" w:type="dxa"/>
        <w:tblLayout w:type="fixed"/>
        <w:tblCellMar>
          <w:top w:w="28" w:type="dxa"/>
          <w:left w:w="28" w:type="dxa"/>
          <w:bottom w:w="28" w:type="dxa"/>
          <w:right w:w="28" w:type="dxa"/>
        </w:tblCellMar>
      </w:tblPr>
      <w:tblGrid>
        <w:gridCol w:w="618"/>
        <w:gridCol w:w="543"/>
        <w:gridCol w:w="545"/>
        <w:gridCol w:w="346"/>
        <w:gridCol w:w="346"/>
        <w:gridCol w:w="493"/>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019175" cy="3905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19175" cy="390525"/>
                          </a:xfrm>
                          <a:prstGeom prst="rect">
                            <a:avLst/>
                          </a:prstGeom>
                        </pic:spPr>
                      </pic:pic>
                    </a:graphicData>
                  </a:graphic>
                </wp:inline>
              </w:drawing>
            </w:r>
          </w:p>
        </w:tc>
        <w:tc>
          <w:tcPr>
            <w:tcW w:w="1185"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99.1</w:t>
            </w:r>
          </w:p>
        </w:tc>
      </w:tr>
    </w:tbl>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8"/>
        </w:rPr>
      </w:pPr>
      <w:r>
        <w:rPr>
          <w:rFonts w:ascii="Arial;sans-serif" w:hAnsi="Arial;sans-serif"/>
          <w:b/>
          <w:color w:val="000000"/>
          <w:sz w:val="28"/>
        </w:rPr>
        <w:t>Solstice Advanced Materials Declares Dividend of $0.075 per Common Share</w:t>
      </w:r>
    </w:p>
    <w:p>
      <w:pPr>
        <w:pStyle w:val="TextBody"/>
        <w:bidi w:val="0"/>
        <w:spacing w:before="0" w:after="160"/>
        <w:jc w:val="left"/>
        <w:rPr/>
      </w:pPr>
      <w:r>
        <w:rPr/>
      </w:r>
    </w:p>
    <w:p>
      <w:pPr>
        <w:pStyle w:val="TextBody"/>
        <w:bidi w:val="0"/>
        <w:spacing w:lineRule="auto" w:line="276" w:before="0" w:after="0"/>
        <w:jc w:val="both"/>
        <w:rPr/>
      </w:pPr>
      <w:r>
        <w:rPr>
          <w:rFonts w:ascii="Arial;sans-serif" w:hAnsi="Arial;sans-serif"/>
          <w:b/>
          <w:color w:val="000000"/>
          <w:sz w:val="22"/>
        </w:rPr>
        <w:t>MORRIS PLAINS, N.J., July 17, 2026</w:t>
      </w:r>
      <w:r>
        <w:rPr>
          <w:color w:val="000000"/>
        </w:rPr>
        <w:t xml:space="preserve"> – </w:t>
      </w:r>
      <w:r>
        <w:rPr>
          <w:rFonts w:ascii="Arial;sans-serif" w:hAnsi="Arial;sans-serif"/>
          <w:b w:val="false"/>
          <w:color w:val="000000"/>
          <w:sz w:val="22"/>
          <w:u w:val="single"/>
        </w:rPr>
        <w:t>Solstice Advanced Materials</w:t>
      </w:r>
      <w:r>
        <w:rPr>
          <w:color w:val="000000"/>
        </w:rPr>
        <w:t xml:space="preserve"> </w:t>
      </w:r>
      <w:r>
        <w:rPr>
          <w:rFonts w:ascii="Arial;sans-serif" w:hAnsi="Arial;sans-serif"/>
          <w:b w:val="false"/>
          <w:color w:val="000000"/>
          <w:sz w:val="22"/>
        </w:rPr>
        <w:t>(NASDAQ: SOLS), today announced that its Board of Directors has declared a regular quarterly dividend payment of seven and a half cents ($0.075) per share of the Company's common stock. The dividend will be payable on September 10, 2026, to shareowners of record as of the close of business on August 27, 2026.</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color w:val="000000"/>
          <w:sz w:val="22"/>
        </w:rPr>
        <w:t>About Solstice Advanced Materials</w:t>
      </w:r>
      <w:r>
        <w:rPr>
          <w:color w:val="000000"/>
        </w:rPr>
        <w:t> </w:t>
      </w:r>
      <w:r>
        <w:rPr>
          <w:rFonts w:ascii="Arial;sans-serif" w:hAnsi="Arial;sans-serif"/>
          <w:b w:val="false"/>
          <w:color w:val="000000"/>
          <w:sz w:val="22"/>
        </w:rPr>
        <w:br/>
        <w:t>Solstice Advanced Materials is a leading global specialty materials company that advances science for smarter outcomes. Solstice offers high-performance solutions that enable critical industries and applications, including refrigerants, semiconductor manufacturing, data center cooling, nuclear power, protective fibers, healthcare packaging and more. Solstice is recognized for developing next-generation materials through some of the industry's most renowned brands such as Solstice</w:t>
      </w:r>
      <w:r>
        <w:rPr>
          <w:rFonts w:ascii="Arial;sans-serif" w:hAnsi="Arial;sans-serif"/>
          <w:b w:val="false"/>
          <w:color w:val="000000"/>
          <w:sz w:val="14"/>
        </w:rPr>
        <w:t>®</w:t>
      </w:r>
      <w:r>
        <w:rPr>
          <w:rFonts w:ascii="Arial;sans-serif" w:hAnsi="Arial;sans-serif"/>
          <w:b w:val="false"/>
          <w:color w:val="000000"/>
          <w:sz w:val="22"/>
        </w:rPr>
        <w:t>, Genetron</w:t>
      </w:r>
      <w:r>
        <w:rPr>
          <w:rFonts w:ascii="Arial;sans-serif" w:hAnsi="Arial;sans-serif"/>
          <w:b w:val="false"/>
          <w:color w:val="000000"/>
          <w:sz w:val="14"/>
        </w:rPr>
        <w:t>®</w:t>
      </w:r>
      <w:r>
        <w:rPr>
          <w:rFonts w:ascii="Arial;sans-serif" w:hAnsi="Arial;sans-serif"/>
          <w:b w:val="false"/>
          <w:color w:val="000000"/>
          <w:sz w:val="22"/>
        </w:rPr>
        <w:t>, Aclar</w:t>
      </w:r>
      <w:r>
        <w:rPr>
          <w:rFonts w:ascii="Arial;sans-serif" w:hAnsi="Arial;sans-serif"/>
          <w:b w:val="false"/>
          <w:color w:val="000000"/>
          <w:sz w:val="14"/>
        </w:rPr>
        <w:t>®</w:t>
      </w:r>
      <w:r>
        <w:rPr>
          <w:rFonts w:ascii="Arial;sans-serif" w:hAnsi="Arial;sans-serif"/>
          <w:b w:val="false"/>
          <w:color w:val="000000"/>
          <w:sz w:val="22"/>
        </w:rPr>
        <w:t>, Spectra</w:t>
      </w:r>
      <w:r>
        <w:rPr>
          <w:rFonts w:ascii="Arial;sans-serif" w:hAnsi="Arial;sans-serif"/>
          <w:b w:val="false"/>
          <w:color w:val="000000"/>
          <w:sz w:val="14"/>
        </w:rPr>
        <w:t>®</w:t>
      </w:r>
      <w:r>
        <w:rPr>
          <w:rFonts w:ascii="Arial;sans-serif" w:hAnsi="Arial;sans-serif"/>
          <w:b w:val="false"/>
          <w:color w:val="000000"/>
          <w:sz w:val="22"/>
        </w:rPr>
        <w:t xml:space="preserve">, Fluka™ and Hydranal™. Partnering with over 3,000 customers across more than 120 countries and territories and supported by a robust portfolio of over 5,700 patents and pending applications, Solstice’s approximately 4,100 employees worldwide drive innovation in materials science. For more information, visit </w:t>
      </w:r>
      <w:r>
        <w:rPr>
          <w:rFonts w:ascii="Arial;sans-serif" w:hAnsi="Arial;sans-serif"/>
          <w:b w:val="false"/>
          <w:color w:val="000000"/>
          <w:sz w:val="22"/>
          <w:u w:val="single"/>
        </w:rPr>
        <w:t>www.Solstice.com</w:t>
      </w:r>
      <w:r>
        <w:rPr>
          <w:rFonts w:ascii="Arial;sans-serif" w:hAnsi="Arial;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264" w:before="0" w:after="0"/>
        <w:jc w:val="both"/>
        <w:rPr>
          <w:rFonts w:ascii="Arial;sans-serif" w:hAnsi="Arial;sans-serif"/>
          <w:b w:val="false"/>
          <w:color w:val="000000"/>
          <w:sz w:val="22"/>
        </w:rPr>
      </w:pPr>
      <w:r>
        <w:rPr>
          <w:rFonts w:ascii="Arial;sans-serif" w:hAnsi="Arial;sans-serif"/>
          <w:b w:val="false"/>
          <w:color w:val="000000"/>
          <w:sz w:val="22"/>
        </w:rPr>
        <w:t>This news release contains forward-looking statements, within the meaning of the Private Securities Litigation Reform Act of 1995. These statements can be identified by the fact that they do not relate strictly to historical or current facts, but rather are based on current expectations, estimates, assumptions and projections. These statements involve risks and uncertainties, and actual results may differ materially from any future results expressed or implied by the forward-looking statements. Risks and uncertainties include, without limitation, risks relating to the proposed transaction with Element Solutions Inc, including completion of the proposed transaction on the anticipated terms and timing, or at all,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and inflation, that can affect Solstice’s performance in both the near- and long-term. In addition, no assurance can be given that any plan, initiative, projection, goal, commitment, expectation, or prospect set forth in this release can or will be achieved. These forward-looking statements should be considered in light of the information included in this release, Solstice’s 2025 Annual Report on Form 10-K, and other filings with the Securities and Exchange Commission. Any forward-looking plans described herein are not final and may be modified or abandoned at any time. Solstice does not undertake to update or revise any of its forward-looking statements, which speak only as of the date they are made.</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307" w:before="0" w:after="0"/>
        <w:jc w:val="left"/>
        <w:rPr>
          <w:rFonts w:ascii="Arial;sans-serif" w:hAnsi="Arial;sans-serif"/>
          <w:b/>
          <w:color w:val="000000"/>
          <w:sz w:val="22"/>
        </w:rPr>
      </w:pPr>
      <w:r>
        <w:rPr>
          <w:rFonts w:ascii="Arial;sans-serif" w:hAnsi="Arial;sans-serif"/>
          <w:b/>
          <w:color w:val="000000"/>
          <w:sz w:val="22"/>
        </w:rPr>
        <w:t>Contacts:</w:t>
      </w:r>
    </w:p>
    <w:tbl>
      <w:tblPr>
        <w:tblW w:w="6164" w:type="dxa"/>
        <w:jc w:val="left"/>
        <w:tblInd w:w="0" w:type="dxa"/>
        <w:tblLayout w:type="fixed"/>
        <w:tblCellMar>
          <w:top w:w="28" w:type="dxa"/>
          <w:left w:w="28" w:type="dxa"/>
          <w:bottom w:w="28" w:type="dxa"/>
          <w:right w:w="28" w:type="dxa"/>
        </w:tblCellMar>
      </w:tblPr>
      <w:tblGrid>
        <w:gridCol w:w="1182"/>
        <w:gridCol w:w="1042"/>
        <w:gridCol w:w="1046"/>
        <w:gridCol w:w="846"/>
        <w:gridCol w:w="846"/>
        <w:gridCol w:w="1202"/>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tLeast" w:line="212" w:before="113" w:after="283"/>
              <w:jc w:val="left"/>
              <w:rPr>
                <w:rFonts w:ascii="Arial;sans-serif" w:hAnsi="Arial;sans-serif"/>
                <w:b/>
                <w:color w:val="000000"/>
                <w:sz w:val="22"/>
              </w:rPr>
            </w:pPr>
            <w:r>
              <w:rPr>
                <w:rFonts w:ascii="Arial;sans-serif" w:hAnsi="Arial;sans-serif"/>
                <w:b/>
                <w:color w:val="000000"/>
                <w:sz w:val="22"/>
              </w:rPr>
              <w:t>Investor Relations</w:t>
            </w:r>
          </w:p>
        </w:tc>
        <w:tc>
          <w:tcPr>
            <w:tcW w:w="2894" w:type="dxa"/>
            <w:gridSpan w:val="3"/>
            <w:tcBorders/>
            <w:tcMar>
              <w:top w:w="0" w:type="dxa"/>
              <w:left w:w="0" w:type="dxa"/>
              <w:bottom w:w="0" w:type="dxa"/>
              <w:right w:w="0" w:type="dxa"/>
            </w:tcMar>
            <w:vAlign w:val="center"/>
          </w:tcPr>
          <w:p>
            <w:pPr>
              <w:pStyle w:val="TableContents"/>
              <w:bidi w:val="0"/>
              <w:spacing w:lineRule="atLeast" w:line="212" w:before="113" w:after="283"/>
              <w:jc w:val="left"/>
              <w:rPr>
                <w:rFonts w:ascii="Arial;sans-serif" w:hAnsi="Arial;sans-serif"/>
                <w:b/>
                <w:color w:val="000000"/>
                <w:sz w:val="22"/>
              </w:rPr>
            </w:pPr>
            <w:r>
              <w:rPr>
                <w:rFonts w:ascii="Arial;sans-serif" w:hAnsi="Arial;sans-serif"/>
                <w:b/>
                <w:color w:val="000000"/>
                <w:sz w:val="22"/>
              </w:rPr>
              <w:t>Media</w:t>
            </w:r>
          </w:p>
        </w:tc>
      </w:tr>
      <w:tr>
        <w:trPr/>
        <w:tc>
          <w:tcPr>
            <w:tcW w:w="3270" w:type="dxa"/>
            <w:gridSpan w:val="3"/>
            <w:tcBorders/>
            <w:tcMar>
              <w:top w:w="0" w:type="dxa"/>
              <w:left w:w="0" w:type="dxa"/>
              <w:bottom w:w="0" w:type="dxa"/>
              <w:right w:w="0" w:type="dxa"/>
            </w:tcMar>
            <w:vAlign w:val="center"/>
          </w:tcPr>
          <w:p>
            <w:pPr>
              <w:pStyle w:val="TableContents"/>
              <w:bidi w:val="0"/>
              <w:spacing w:lineRule="atLeast" w:line="209" w:before="0" w:after="0"/>
              <w:jc w:val="left"/>
              <w:rPr>
                <w:rFonts w:ascii="Arial;sans-serif" w:hAnsi="Arial;sans-serif"/>
                <w:b w:val="false"/>
                <w:color w:val="000000"/>
                <w:sz w:val="22"/>
              </w:rPr>
            </w:pPr>
            <w:r>
              <w:rPr>
                <w:rFonts w:ascii="Arial;sans-serif" w:hAnsi="Arial;sans-serif"/>
                <w:b w:val="false"/>
                <w:color w:val="000000"/>
                <w:sz w:val="22"/>
              </w:rPr>
              <w:t>Mike Leithead</w:t>
            </w:r>
          </w:p>
        </w:tc>
        <w:tc>
          <w:tcPr>
            <w:tcW w:w="2894" w:type="dxa"/>
            <w:gridSpan w:val="3"/>
            <w:tcBorders/>
            <w:tcMar>
              <w:top w:w="0" w:type="dxa"/>
              <w:left w:w="0" w:type="dxa"/>
              <w:bottom w:w="0" w:type="dxa"/>
              <w:right w:w="0" w:type="dxa"/>
            </w:tcMar>
            <w:vAlign w:val="center"/>
          </w:tcPr>
          <w:p>
            <w:pPr>
              <w:pStyle w:val="TableContents"/>
              <w:bidi w:val="0"/>
              <w:spacing w:lineRule="atLeast" w:line="209" w:before="0" w:after="0"/>
              <w:jc w:val="left"/>
              <w:rPr>
                <w:rFonts w:ascii="Arial;sans-serif" w:hAnsi="Arial;sans-serif"/>
                <w:b w:val="false"/>
                <w:color w:val="000000"/>
                <w:sz w:val="22"/>
              </w:rPr>
            </w:pPr>
            <w:r>
              <w:rPr>
                <w:rFonts w:ascii="Arial;sans-serif" w:hAnsi="Arial;sans-serif"/>
                <w:b w:val="false"/>
                <w:color w:val="000000"/>
                <w:sz w:val="22"/>
              </w:rPr>
              <w:t>Phil Terrigno</w:t>
            </w:r>
          </w:p>
        </w:tc>
      </w:tr>
      <w:tr>
        <w:trPr/>
        <w:tc>
          <w:tcPr>
            <w:tcW w:w="3270" w:type="dxa"/>
            <w:gridSpan w:val="3"/>
            <w:tcBorders/>
            <w:tcMar>
              <w:top w:w="0" w:type="dxa"/>
              <w:left w:w="0" w:type="dxa"/>
              <w:bottom w:w="0" w:type="dxa"/>
              <w:right w:w="0" w:type="dxa"/>
            </w:tcMar>
            <w:vAlign w:val="center"/>
          </w:tcPr>
          <w:p>
            <w:pPr>
              <w:pStyle w:val="TableContents"/>
              <w:bidi w:val="0"/>
              <w:spacing w:lineRule="atLeast" w:line="210" w:before="0" w:after="0"/>
              <w:jc w:val="left"/>
              <w:rPr>
                <w:rFonts w:ascii="Arial;sans-serif" w:hAnsi="Arial;sans-serif"/>
                <w:b w:val="false"/>
                <w:color w:val="000000"/>
                <w:sz w:val="22"/>
              </w:rPr>
            </w:pPr>
            <w:r>
              <w:rPr>
                <w:rFonts w:ascii="Arial;sans-serif" w:hAnsi="Arial;sans-serif"/>
                <w:b w:val="false"/>
                <w:color w:val="000000"/>
                <w:sz w:val="22"/>
              </w:rPr>
              <w:t>(973) 370-8188</w:t>
            </w:r>
          </w:p>
        </w:tc>
        <w:tc>
          <w:tcPr>
            <w:tcW w:w="2894" w:type="dxa"/>
            <w:gridSpan w:val="3"/>
            <w:tcBorders/>
            <w:tcMar>
              <w:top w:w="0" w:type="dxa"/>
              <w:left w:w="0" w:type="dxa"/>
              <w:bottom w:w="0" w:type="dxa"/>
              <w:right w:w="0" w:type="dxa"/>
            </w:tcMar>
            <w:vAlign w:val="center"/>
          </w:tcPr>
          <w:p>
            <w:pPr>
              <w:pStyle w:val="TableContents"/>
              <w:bidi w:val="0"/>
              <w:spacing w:lineRule="atLeast" w:line="210" w:before="0" w:after="0"/>
              <w:jc w:val="left"/>
              <w:rPr>
                <w:rFonts w:ascii="Arial;sans-serif" w:hAnsi="Arial;sans-serif"/>
                <w:b w:val="false"/>
                <w:color w:val="000000"/>
                <w:sz w:val="22"/>
              </w:rPr>
            </w:pPr>
            <w:r>
              <w:rPr>
                <w:rFonts w:ascii="Arial;sans-serif" w:hAnsi="Arial;sans-serif"/>
                <w:b w:val="false"/>
                <w:color w:val="000000"/>
                <w:sz w:val="22"/>
              </w:rPr>
              <w:t>(973) 768-8868</w:t>
            </w:r>
          </w:p>
        </w:tc>
      </w:tr>
      <w:tr>
        <w:trPr/>
        <w:tc>
          <w:tcPr>
            <w:tcW w:w="3270" w:type="dxa"/>
            <w:gridSpan w:val="3"/>
            <w:tcBorders/>
            <w:tcMar>
              <w:top w:w="0" w:type="dxa"/>
              <w:left w:w="0" w:type="dxa"/>
              <w:bottom w:w="0" w:type="dxa"/>
              <w:right w:w="0" w:type="dxa"/>
            </w:tcMar>
            <w:vAlign w:val="center"/>
          </w:tcPr>
          <w:p>
            <w:pPr>
              <w:pStyle w:val="TableContents"/>
              <w:bidi w:val="0"/>
              <w:spacing w:lineRule="atLeast" w:line="207" w:before="0" w:after="0"/>
              <w:jc w:val="left"/>
              <w:rPr>
                <w:rFonts w:ascii="Arial;sans-serif" w:hAnsi="Arial;sans-serif"/>
                <w:b w:val="false"/>
                <w:color w:val="000000"/>
                <w:sz w:val="22"/>
                <w:u w:val="single"/>
              </w:rPr>
            </w:pPr>
            <w:r>
              <w:rPr>
                <w:rFonts w:ascii="Arial;sans-serif" w:hAnsi="Arial;sans-serif"/>
                <w:b w:val="false"/>
                <w:color w:val="000000"/>
                <w:sz w:val="22"/>
                <w:u w:val="single"/>
              </w:rPr>
              <w:t xml:space="preserve">Michael.Leithead@solstice.com </w:t>
            </w:r>
          </w:p>
        </w:tc>
        <w:tc>
          <w:tcPr>
            <w:tcW w:w="2894" w:type="dxa"/>
            <w:gridSpan w:val="3"/>
            <w:tcBorders/>
            <w:tcMar>
              <w:top w:w="0" w:type="dxa"/>
              <w:left w:w="0" w:type="dxa"/>
              <w:bottom w:w="0" w:type="dxa"/>
              <w:right w:w="0" w:type="dxa"/>
            </w:tcMar>
            <w:vAlign w:val="center"/>
          </w:tcPr>
          <w:p>
            <w:pPr>
              <w:pStyle w:val="TableContents"/>
              <w:bidi w:val="0"/>
              <w:spacing w:lineRule="atLeast" w:line="207" w:before="0" w:after="0"/>
              <w:jc w:val="left"/>
              <w:rPr>
                <w:rFonts w:ascii="Arial;sans-serif" w:hAnsi="Arial;sans-serif"/>
                <w:b w:val="false"/>
                <w:color w:val="000000"/>
                <w:sz w:val="22"/>
                <w:u w:val="single"/>
              </w:rPr>
            </w:pPr>
            <w:r>
              <w:rPr>
                <w:rFonts w:ascii="Arial;sans-serif" w:hAnsi="Arial;sans-serif"/>
                <w:b w:val="false"/>
                <w:color w:val="000000"/>
                <w:sz w:val="22"/>
                <w:u w:val="single"/>
              </w:rPr>
              <w:t xml:space="preserve">Phil.Terrigno@solstice.com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939</Words>
  <Characters>5415</Characters>
  <CharactersWithSpaces>6297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