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579d8_425.htm"/>
      <w:bookmarkStart w:id="1" w:name="kstm2620579d8_42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communication is being filed in connection with the proposed transaction between Solstice Advanced Materials Inc. (“Solstice”) and Element Solutions Inc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are excerpts relating to the proposed transaction from a Solstice employee town hall held on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 we believe, is going to be another great year for the company. We'll also, welcome our acquisitions, so we'll be a really strong, growing, scalable company that we believe will be what we're calling just an advanced materials powerhouse in the industry. I mean, when you look at our portfolio, what we're going to be able to do for customers, and the segments we operate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margin profile we have, with the growth profile we have, with the innovation, and the people, we think this is going to be the leading company in advanced materials, and we just can't wait to demonstrate that,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let's talk about Element Solutions. Let me just give you a little bit of an update on where we're at in the acquisitions, and then I have a slide here that talks a little bit about timing, and then obviously we'll have Q&amp;A, and I want to answer any and every question you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Element as we move forward. The number one piece of Element is, and the most attractive reason why we did it, is it really positions us as a leader in, advanced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when you think about our electronics business, and wear that out, we have this amazing refrigerants business, across the board, and then if you look at our electronics business, it's growing like crazy. We're doubling the site of our, of our Spokane facility as we speak. We're accelerating that. Our order backlog is unbelievable.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when you think about the company, and where we want to take the company. I want you not to think about electronics and refrigerants. I want us to think about, strategically, we are going to be an AI Critical infrastructure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what does that mean? Because with the progression of AI, and AI is here to stay, and we can debate the data center growth separately, but AI will be the next baseline for how companies operate well into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with that, with all the NVIDIAs and TSMCs and Samsungs and Intels and everybody that's out there. It's not just their growth, there's an infrastructure that needs to support their growth. And these are now trillion-dollar valuation companies. That's how fast these companies are growing.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with that, think about what goes in. So you've got the semiconductor side which now we have an end-to-end portfolio that we think is going to be one of the leading portfolios in the world. We'll have integrated solutions that nobody has, we'll have, we'll be on the front end, we'll be on, in advanced packaging, which is growing double digits. We're gonna have the best thermal management solutions, so we are just gonna have a complete portfolio on that piece of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you think about the cooling side of it. And whether it's cooling the data center, thermal management, and other aspects of everything that goes on. Next-generation innovation cooling on the chip, whether it's two-phase directed chip, immersion cooling. We're gonna be able to do things that nobody else can do, from that standpoint.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you gotta power the, right? You gotta power those data centers, which is a huge concern, and that's where you're seeing the advent of SMR technology, and that's where our nuclear business comes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just an amazing opportunity for us, because if you want to invest in critical infrastructure on where all these investments are going over the next decade plus. Which is going to be growing faster than we think almost any segment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gonna have a complete portfolio. And then you think about our other businesses is, you know, their platforms. So if you think about our HFOs, yes, they go into cooling, yes, they go into…nuclear, but, you know, hydrogen fluoride, we have it in other things. It goes into BSI, it goes into medical. So that's a growth avenue on common platforms. We, you know, we use the common R&amp;D teams, you know, we're able to leverage our manufacturing footprint. So, now we have a core business, and then we have organic growth opportunities on top of it. But we are going to be a critical infrastructure company, and now Element Solutions allows us to be a leader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electronics side, and it'll bring everything together. So, we couldn't be more excited about it, and we just think the future for this company is as bright as it's ever been, and, we're excited about what's to come next.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what does a new company look like? So, we'll be, from 2025 revenue standpoint, $6.8 billion, so obviously, with the growth, we'll be over $7 billion as we head into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gonna have leading margins at 26%. You can see some of the growth rates and what's going on, and why we're so excited about being part of this. So you think about advanced computing, next-generation cooling, power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platforms where we can grow organically off these innovations. This is an end-to-end market that we couldn't be more excited about, and has positioned Solstice strategically as a leader in this critical infrastructure on this new growth platform as we move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what does it mean for employees? And this is where I hope employees get really excited.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as we continue to grow, when you grow double digits, and you are now expanding, globally, you have depths of market, this provides unbelievable growth opportunities for employees. We are really excited about the career opportunities you now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stronger, more global company, we have more scale, we have more money for investment in our organic growth, more R&amp;D opportunities. It helps us with our capital spending for our manufacturing sites. So, we're really excited what this brings for our employees, whether it's at the plant, whether it's on the commercial side, whether on the functional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just going to be a much more scalable company that's just going to provide more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you know, wherever we can, develop our people, promote internally within, that's exactly what we're gonna do. So I hope you're as excited about the opportunities for you as we are for our customers and our shareholders. And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There's just gonna be…A different aspect, and we'll do a lot of change management, because we'll want to combine as we integrate the two companies, how do we take the best of both? So there'll be some great learnings we get from Element, and there'll be some great best practices on the Solstice side, and we'll blend those together, and we'll be able to really have a truly customer focus, execution-oriented company that really outpaces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that's kind of where we're at with Element. The integration team is doing an amazing job preparing us. We've just kicked off with the Element leadership team, and we'll have work streams, across functions, across regions. Many of you are going to be heavily involved. Along with the Element team in really helping us drive what's our operating model gonna be? Where are the opportunities for us, to continue to grow faster and take advantage of making… how do we make 1 plus 1 equal 3 with our two companies coming together? So that process is starting. And you will be getting a lot more information on that, and we have a website hub on the integration, and that will be continued to update, so you guys have information on what's happening.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Another question on the acquisition of Element. Since it's been a month since we announced, what has been the initial feedback from our customers? Has it… our electronics customers, has it been mostly positive? Has there been any doubts?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Really great question. I'm actually going to, I asked Simon to, and we used some quotes from customers. In some of our investor materials. Simon, I'm gonna put you on the spot. Because we asked Simon to get directly with customers, get their feedback, and I'll let you hear it straight from the leader of our electronics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Simon Mawson: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So yesterday, or two days ago, I was out at Spokane. We did the, final beam installation on Spokane, so we all signed the beam and they hoisted it up, and you'll see photos of this coming out shortly. But we had Gary Chen, who is the head of procurement for TSMC, sort of our key contact there for the Beam signing ceremony. And so we actually got quite a bit of time with Gary, both at dinner and then during the day for the Beam signing ceremony. And, you know, across the board, you know, the feedback from Gary is extremely positive.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they have a situation today where, as the advanced packaging business, for example, starts to grow, they're struggling with suppliers and their current supplier situation, because a lot of the suppliers into that space are not as well equipped to serve the electronics industry as, say, the front-end suppliers like ourselves.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they want to see us accelerate what we're doing at advanced packaging, and pull in what we do on the front end into the back end, and support them in a much more meaningful way as they grow out their advanced packaging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same time, they also have, they have to buy substrates, they have to buy PCB boards as they manufacture for their customers, because their customers are asking them to do more and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that's another area where they have a pain point and they need help, and with Element, we're gonna have a leading position in PCB board manufacturing and capability. So when you think across the entire value chain, so from front end. packaging, PCB board, final assembly. There's an incredible opportunity with someone like TSMC, for example, to become a much more significant strategic partner for them, to help them with all that, because they're struggling with it, because there's so few suppliers, or no suppliers, that can really help them across it. heard the same feedback from Samsung, so the Samsung conversation, they want to have a technology review meeting, like, next week, which we can't do until we do the close. And then similar feedback from Intel as well, that, you know, lots of opportunity. So, I think there's going to be amazing opportunity here with our customers, to do much more, much faster, and to become much more of an innovation partner with them, end-to-end across the whole value chain. So the initial feedback is extremely positive. Perfect.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Brian. So, before we close, you know, just want to highlight, you talked about it in your comments, there's a lot of… lot of energy around Element, and I know there's a lot of interest, in… so, similar to what we did with the spin, David mentioned that, you know, we've created… on the intranet site, we've put together, you know, a placeholder, you know, the acquisition hub, per 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always to try to be as transparent as we possibly can, and we're going to continue to put information out there as much as we possibly can, and as we have information, and that's our commitment, to the employees, and understand there's a lot of questions, and right now, there's just not a lot of answers.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as we go through, we will continue to put information out there. I'd ask you to go and continue to look at that site, and it gives you an opportunity to kind of learn more about it as we go through over the next several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Dave, a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so, first off, thank you again for another great quarter. Each and every one of you, absolutely played a critical role in that. As Jeff, reminded us all, there's only two jobs here. We either sell advanced materials or we help sell it, and you all have done all of that, and that is so important for us as we go into this spin.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 I know there's a lot of, you know, what-ifs on Element, and I just want to just continue to put your mind at ease that this is going to be an unbelievable opportunity for this company, for us to be able to build this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get in at the early innings of AI and this critical infrastructure around it. And to demonstrate the innovation that Simon even alluded to, where customers just need more and more. I think TSMC has announced, probably, Simon, $300 billion of investment in, in, in Arizona for chip fabrication. That's a good place to be. Where customers are spending $300 billion, and that's not even all the other aspects that's going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the innovations that the R&amp;D team's working on, with the commercial excellence work that's going on, and gaining share. I am so excited about the future of this company, and I can't wait for all of us to share in the successes that we have in the future that you all created. So, with that, we'll let you go, and can't wait to talk to you all next quarter. Thank you very much.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excerpts from a Solstice employee town hall presentation on August 6,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767"/>
        <w:gridCol w:w="8703"/>
        <w:gridCol w:w="735"/>
      </w:tblGrid>
      <w:tr>
        <w:trPr/>
        <w:tc>
          <w:tcPr>
            <w:tcW w:w="767" w:type="dxa"/>
            <w:tcBorders/>
            <w:vAlign w:val="center"/>
          </w:tcPr>
          <w:p>
            <w:pPr>
              <w:pStyle w:val="TableContents"/>
              <w:bidi w:val="0"/>
              <w:spacing w:before="0" w:after="283"/>
              <w:jc w:val="left"/>
              <w:rPr>
                <w:sz w:val="4"/>
                <w:szCs w:val="4"/>
              </w:rPr>
            </w:pPr>
            <w:r>
              <w:rPr>
                <w:sz w:val="4"/>
                <w:szCs w:val="4"/>
              </w:rPr>
            </w:r>
          </w:p>
        </w:tc>
        <w:tc>
          <w:tcPr>
            <w:tcW w:w="8703" w:type="dxa"/>
            <w:tcBorders/>
          </w:tcPr>
          <w:p>
            <w:pPr>
              <w:pStyle w:val="TableContents"/>
              <w:bidi w:val="0"/>
              <w:spacing w:before="0" w:after="0"/>
              <w:ind w:left="0" w:right="0" w:hanging="0"/>
              <w:jc w:val="center"/>
              <w:rPr/>
            </w:pPr>
            <w:r>
              <w:rPr/>
              <w:drawing>
                <wp:inline distT="0" distB="0" distL="0" distR="0">
                  <wp:extent cx="12192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685800"/>
                          </a:xfrm>
                          <a:prstGeom prst="rect">
                            <a:avLst/>
                          </a:prstGeom>
                        </pic:spPr>
                      </pic:pic>
                    </a:graphicData>
                  </a:graphic>
                </wp:inline>
              </w:drawing>
            </w:r>
          </w:p>
        </w:tc>
        <w:tc>
          <w:tcPr>
            <w:tcW w:w="7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2026 Solstice Advanced Materials US, Inc. Confidential. For Internal Use Only. Do Not Distribute. Element Solutions Acquisition Update • Unlocks the potential of the combined electronics platform • Highly complementary competencies in advanced formulation and synthetic chemistry • Expected to enhance Solstice’s financial growth engine • Expected incremental EBITDA upside and anticipated enhanced cash profile • Nuclear expected to remain a core growth pillar for Solstice • Proven and experienced team in place to drive integration execution and full value creation 9 Expected to Accelerate Our Strategy and Fuel Significant, Sustainable Value Creation</w:t>
            </w:r>
          </w:p>
        </w:tc>
      </w:tr>
    </w:tbl>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10205" w:type="dxa"/>
        <w:jc w:val="center"/>
        <w:tblInd w:w="0" w:type="dxa"/>
        <w:tblLayout w:type="fixed"/>
        <w:tblCellMar>
          <w:top w:w="0" w:type="dxa"/>
          <w:left w:w="0" w:type="dxa"/>
          <w:bottom w:w="0" w:type="dxa"/>
          <w:right w:w="0" w:type="dxa"/>
        </w:tblCellMar>
      </w:tblPr>
      <w:tblGrid>
        <w:gridCol w:w="760"/>
        <w:gridCol w:w="8709"/>
        <w:gridCol w:w="736"/>
      </w:tblGrid>
      <w:tr>
        <w:trPr/>
        <w:tc>
          <w:tcPr>
            <w:tcW w:w="760" w:type="dxa"/>
            <w:tcBorders/>
            <w:vAlign w:val="center"/>
          </w:tcPr>
          <w:p>
            <w:pPr>
              <w:pStyle w:val="TableContents"/>
              <w:bidi w:val="0"/>
              <w:spacing w:before="0" w:after="283"/>
              <w:jc w:val="left"/>
              <w:rPr>
                <w:sz w:val="4"/>
                <w:szCs w:val="4"/>
              </w:rPr>
            </w:pPr>
            <w:r>
              <w:rPr>
                <w:sz w:val="4"/>
                <w:szCs w:val="4"/>
              </w:rPr>
            </w:r>
          </w:p>
        </w:tc>
        <w:tc>
          <w:tcPr>
            <w:tcW w:w="8709" w:type="dxa"/>
            <w:tcBorders/>
          </w:tcPr>
          <w:p>
            <w:pPr>
              <w:pStyle w:val="TableContents"/>
              <w:bidi w:val="0"/>
              <w:spacing w:before="0" w:after="0"/>
              <w:ind w:left="0" w:right="0" w:hanging="0"/>
              <w:jc w:val="center"/>
              <w:rPr/>
            </w:pPr>
            <w:r>
              <w:rPr/>
              <w:drawing>
                <wp:inline distT="0" distB="0" distL="0" distR="0">
                  <wp:extent cx="12192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685800"/>
                          </a:xfrm>
                          <a:prstGeom prst="rect">
                            <a:avLst/>
                          </a:prstGeom>
                        </pic:spPr>
                      </pic:pic>
                    </a:graphicData>
                  </a:graphic>
                </wp:inline>
              </w:drawing>
            </w:r>
          </w:p>
        </w:tc>
        <w:tc>
          <w:tcPr>
            <w:tcW w:w="73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Expected Improved Capabilities to Serve High - Growth End Markets 10 Source: Company Public Filings, Grand View Research, Grid Strategics, McKinsey &amp; Company |¹Includes Solstice Research and Performance Chemicals and Safety and Defense Solutions, and Element Specialties 2 For illustrative purposes, see slide 6 for more information. Combined company revenue includes pro forma adjustment for Micromax and EFC acquisitions. $6.8B 2 2025 Combined Revenue Electronic Materials Industrials &amp; Specialty 1 Refrigerants, Nuclear, and Other Next Generation Cooling Intensifying Power Demand Driving Nuclear Growth ✓ Advanced Compute ✓ ✓ Expanded Suite of Critical Electronics Materials and Cooling Solutions for AI and Data Centers Device Interconnectivity AI &amp; Machine Learning Electrification High - Performance Compute Buildout ~11% CAGR ~30% CAGR ~$7 Trillion Spend by 2030 ~4% Peak Energy Demand CAGR Weighted to High - Growth End Markets © 2026 Solstice Advanced Materials US, Inc. Confidential. For Internal Use Only. Do Not Distribute. Combined Companies Snapshot </w:t>
            </w:r>
          </w:p>
        </w:tc>
      </w:tr>
    </w:tbl>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10205" w:type="dxa"/>
        <w:jc w:val="center"/>
        <w:tblInd w:w="0" w:type="dxa"/>
        <w:tblLayout w:type="fixed"/>
        <w:tblCellMar>
          <w:top w:w="0" w:type="dxa"/>
          <w:left w:w="0" w:type="dxa"/>
          <w:bottom w:w="0" w:type="dxa"/>
          <w:right w:w="0" w:type="dxa"/>
        </w:tblCellMar>
      </w:tblPr>
      <w:tblGrid>
        <w:gridCol w:w="766"/>
        <w:gridCol w:w="8704"/>
        <w:gridCol w:w="735"/>
      </w:tblGrid>
      <w:tr>
        <w:trPr/>
        <w:tc>
          <w:tcPr>
            <w:tcW w:w="766" w:type="dxa"/>
            <w:tcBorders/>
            <w:vAlign w:val="center"/>
          </w:tcPr>
          <w:p>
            <w:pPr>
              <w:pStyle w:val="TableContents"/>
              <w:bidi w:val="0"/>
              <w:spacing w:before="0" w:after="283"/>
              <w:jc w:val="left"/>
              <w:rPr>
                <w:sz w:val="4"/>
                <w:szCs w:val="4"/>
              </w:rPr>
            </w:pPr>
            <w:r>
              <w:rPr>
                <w:sz w:val="4"/>
                <w:szCs w:val="4"/>
              </w:rPr>
            </w:r>
          </w:p>
        </w:tc>
        <w:tc>
          <w:tcPr>
            <w:tcW w:w="8704" w:type="dxa"/>
            <w:tcBorders/>
          </w:tcPr>
          <w:p>
            <w:pPr>
              <w:pStyle w:val="TableContents"/>
              <w:bidi w:val="0"/>
              <w:spacing w:before="0" w:after="0"/>
              <w:ind w:left="0" w:right="0" w:hanging="0"/>
              <w:jc w:val="center"/>
              <w:rPr/>
            </w:pPr>
            <w:r>
              <w:rPr/>
              <w:drawing>
                <wp:inline distT="0" distB="0" distL="0" distR="0">
                  <wp:extent cx="12192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 cy="685800"/>
                          </a:xfrm>
                          <a:prstGeom prst="rect">
                            <a:avLst/>
                          </a:prstGeom>
                        </pic:spPr>
                      </pic:pic>
                    </a:graphicData>
                  </a:graphic>
                </wp:inline>
              </w:drawing>
            </w:r>
          </w:p>
        </w:tc>
        <w:tc>
          <w:tcPr>
            <w:tcW w:w="7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2026 Solstice Advanced Materials US, Inc. Confidential. For Internal Use Only. Do Not Distribute. Expected Benefits For Employees Expected Benefits For Employees A stronger, more global company Greater scale, broader geographic reach and a more balanced portfolio Broader career and development potential Larger global company, more opportunities to learn, grow and build meaningful careers New colleagues and shared expertise Learn from one another, share best practices and combine complementary capabilities More opportunities to innovate More ways to solve complex customer challenges 11 Stay focused on customers, safety, quality, delivery and 2026 priorities</w:t>
            </w:r>
          </w:p>
        </w:tc>
      </w:tr>
    </w:tbl>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center"/>
        <w:rPr/>
      </w:pPr>
      <w:r>
        <w:rPr/>
        <w:t> </w:t>
      </w:r>
    </w:p>
    <w:tbl>
      <w:tblPr>
        <w:tblW w:w="10205" w:type="dxa"/>
        <w:jc w:val="center"/>
        <w:tblInd w:w="0" w:type="dxa"/>
        <w:tblLayout w:type="fixed"/>
        <w:tblCellMar>
          <w:top w:w="0" w:type="dxa"/>
          <w:left w:w="0" w:type="dxa"/>
          <w:bottom w:w="0" w:type="dxa"/>
          <w:right w:w="0" w:type="dxa"/>
        </w:tblCellMar>
      </w:tblPr>
      <w:tblGrid>
        <w:gridCol w:w="764"/>
        <w:gridCol w:w="8692"/>
        <w:gridCol w:w="749"/>
      </w:tblGrid>
      <w:tr>
        <w:trPr/>
        <w:tc>
          <w:tcPr>
            <w:tcW w:w="764" w:type="dxa"/>
            <w:tcBorders/>
            <w:vAlign w:val="center"/>
          </w:tcPr>
          <w:p>
            <w:pPr>
              <w:pStyle w:val="TableContents"/>
              <w:bidi w:val="0"/>
              <w:spacing w:before="0" w:after="283"/>
              <w:jc w:val="left"/>
              <w:rPr>
                <w:sz w:val="4"/>
                <w:szCs w:val="4"/>
              </w:rPr>
            </w:pPr>
            <w:r>
              <w:rPr>
                <w:sz w:val="4"/>
                <w:szCs w:val="4"/>
              </w:rPr>
            </w:r>
          </w:p>
        </w:tc>
        <w:tc>
          <w:tcPr>
            <w:tcW w:w="8692" w:type="dxa"/>
            <w:tcBorders/>
          </w:tcPr>
          <w:p>
            <w:pPr>
              <w:pStyle w:val="TableContents"/>
              <w:bidi w:val="0"/>
              <w:spacing w:before="0" w:after="0"/>
              <w:ind w:left="0" w:right="0" w:hanging="0"/>
              <w:jc w:val="center"/>
              <w:rPr/>
            </w:pPr>
            <w:r>
              <w:rPr/>
              <w:drawing>
                <wp:inline distT="0" distB="0" distL="0" distR="0">
                  <wp:extent cx="1219200"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 cy="685800"/>
                          </a:xfrm>
                          <a:prstGeom prst="rect">
                            <a:avLst/>
                          </a:prstGeom>
                        </pic:spPr>
                      </pic:pic>
                    </a:graphicData>
                  </a:graphic>
                </wp:inline>
              </w:drawing>
            </w:r>
          </w:p>
        </w:tc>
        <w:tc>
          <w:tcPr>
            <w:tcW w:w="74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 2026 Solstice Advanced Materials US, Inc. Confidential. For Internal Use Only. Do Not Distribute. Anticipated Element Acquisition Timeline* Anticipated Element Acquisition Timeline* 12 July 2026 Announced transaction, host conversations Q3/Q4 2026 Both Solstice and Element Solutions shareholders vote to approve the transaction ~1H 2027 Regulators to review the transaction and provide approval to complete ~1H 2027 Receive all required approvals and conditions; acquire Element Solutions Deal Announcement Shareholder Approvals Regulatory Approval Deal Close We remain two separate companies until deal close, anticipated 1H 2027 *Subject to shareholder and regulatory approvals We are here </w:t>
            </w:r>
          </w:p>
        </w:tc>
      </w:tr>
    </w:tbl>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"https://www.sec.gov/ix?doc=/Archives/edgar/data/0001590714/000159071426000034/esi-20260323.htm"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"https://www.sec.gov/ix?doc=/Archives/edgar/data/0001590714/000159071426000034/esi-20260323.htm"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"https://www.sec.gov/ix?doc=/Archives/edgar/data/0001590714/000159071426000034/esi-20260323.htm"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synergies. Combined Adjusted EBITDA Margin is inclusive of expected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w:t>
      </w:r>
      <w:r>
        <w:rPr>
          <w:rFonts w:ascii="Times New Roman;Times;Serif" w:hAnsi="Times New Roman;Times;Serif"/>
          <w:b w:val="false"/>
          <w:i w:val="false"/>
          <w:caps w:val="false"/>
          <w:smallCaps w:val="false"/>
          <w:sz w:val="20"/>
          <w:u w:val="single"/>
        </w:rPr>
        <w:t>https://www.elementsolutions.com</w:t>
      </w:r>
      <w:r>
        <w:rPr>
          <w:rFonts w:ascii="Times New Roman;Times;Serif" w:hAnsi="Times New Roman;Times;Serif"/>
          <w:b w:val="false"/>
          <w:i w:val="false"/>
          <w:caps w:val="false"/>
          <w:smallCaps w:val="false"/>
          <w:sz w:val="20"/>
        </w:rPr>
        <w:t xml:space="preserve">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5101</Words>
  <Characters>27633</Characters>
  <CharactersWithSpaces>32758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