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8663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66394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Pierce Tina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180"/>
        <w:spacing w:after="0" w:line="347" w:lineRule="auto"/>
        <w:rPr>
          <w:sz w:val="20"/>
          <w:szCs w:val="20"/>
          <w:color w:val="auto"/>
        </w:rPr>
      </w:pPr>
      <w:r>
        <w:rPr>
          <w:rFonts w:ascii="Times New Roman" w:cs="Times New Roman" w:eastAsia="Times New Roman" w:hAnsi="Times New Roman"/>
          <w:sz w:val="17"/>
          <w:szCs w:val="17"/>
          <w:color w:val="0000FF"/>
        </w:rPr>
        <w:t>C/O SOLSTICE ADVANCED MATERIALS INC. 115 TABOR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MORRIS</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07950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PLAINS</w:t>
            </w:r>
          </w:p>
        </w:tc>
        <w:tc>
          <w:tcPr>
            <w:tcW w:w="10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Solstice Advanced Materials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SOLS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620" w:type="dxa"/>
            <w:vAlign w:val="bottom"/>
            <w:tcBorders>
              <w:top w:val="single" w:sz="8" w:color="0000EE"/>
            </w:tcBorders>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140" w:type="dxa"/>
            <w:vAlign w:val="bottom"/>
          </w:tcPr>
          <w:p>
            <w:pPr>
              <w:ind w:left="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19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vMerge w:val="restart"/>
          </w:tcPr>
          <w:p>
            <w:pPr>
              <w:ind w:left="960"/>
              <w:spacing w:after="0"/>
              <w:rPr>
                <w:sz w:val="20"/>
                <w:szCs w:val="20"/>
                <w:color w:val="auto"/>
              </w:rPr>
            </w:pPr>
            <w:r>
              <w:rPr>
                <w:rFonts w:ascii="Times New Roman" w:cs="Times New Roman" w:eastAsia="Times New Roman" w:hAnsi="Times New Roman"/>
                <w:sz w:val="17"/>
                <w:szCs w:val="17"/>
                <w:color w:val="0000FF"/>
              </w:rPr>
              <w:t>SVP and CFO</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820" w:type="dxa"/>
            <w:vAlign w:val="bottom"/>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1"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tcPr>
          <w:p>
            <w:pPr>
              <w:jc w:val="right"/>
              <w:ind w:right="378"/>
              <w:spacing w:after="0"/>
              <w:rPr>
                <w:sz w:val="20"/>
                <w:szCs w:val="20"/>
                <w:color w:val="auto"/>
              </w:rPr>
            </w:pPr>
            <w:r>
              <w:rPr>
                <w:rFonts w:ascii="Times New Roman" w:cs="Times New Roman" w:eastAsia="Times New Roman" w:hAnsi="Times New Roman"/>
                <w:sz w:val="17"/>
                <w:szCs w:val="17"/>
                <w:color w:val="0000FF"/>
              </w:rPr>
              <w:t>7,187</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10"/>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10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4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center"/>
              <w:ind w:right="204"/>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20" w:type="dxa"/>
            <w:vAlign w:val="bottom"/>
            <w:vMerge w:val="restart"/>
          </w:tcPr>
          <w:p>
            <w:pPr>
              <w:jc w:val="center"/>
              <w:ind w:right="224"/>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jc w:val="center"/>
              <w:ind w:right="179"/>
              <w:spacing w:after="0" w:line="143" w:lineRule="exact"/>
              <w:rPr>
                <w:sz w:val="20"/>
                <w:szCs w:val="20"/>
                <w:color w:val="auto"/>
              </w:rPr>
            </w:pPr>
            <w:r>
              <w:rPr>
                <w:rFonts w:ascii="Times New Roman" w:cs="Times New Roman" w:eastAsia="Times New Roman" w:hAnsi="Times New Roman"/>
                <w:sz w:val="13"/>
                <w:szCs w:val="13"/>
                <w:color w:val="0000FF"/>
                <w:w w:val="91"/>
              </w:rPr>
              <w:t>28</w:t>
            </w: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jc w:val="center"/>
              <w:ind w:left="158"/>
              <w:spacing w:after="0" w:line="143" w:lineRule="exact"/>
              <w:rPr>
                <w:sz w:val="20"/>
                <w:szCs w:val="20"/>
                <w:color w:val="auto"/>
              </w:rPr>
            </w:pPr>
            <w:r>
              <w:rPr>
                <w:rFonts w:ascii="Times New Roman" w:cs="Times New Roman" w:eastAsia="Times New Roman" w:hAnsi="Times New Roman"/>
                <w:sz w:val="13"/>
                <w:szCs w:val="13"/>
                <w:color w:val="0000FF"/>
              </w:rPr>
              <w:t>29,644</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center"/>
              <w:ind w:right="204"/>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5"/>
                <w:szCs w:val="15"/>
                <w:color w:val="auto"/>
              </w:rPr>
            </w:pPr>
          </w:p>
        </w:tc>
        <w:tc>
          <w:tcPr>
            <w:tcW w:w="520" w:type="dxa"/>
            <w:vAlign w:val="bottom"/>
            <w:vMerge w:val="restart"/>
          </w:tcPr>
          <w:p>
            <w:pPr>
              <w:jc w:val="center"/>
              <w:ind w:right="224"/>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jc w:val="center"/>
              <w:ind w:right="179"/>
              <w:spacing w:after="0" w:line="143" w:lineRule="exact"/>
              <w:rPr>
                <w:sz w:val="20"/>
                <w:szCs w:val="20"/>
                <w:color w:val="auto"/>
              </w:rPr>
            </w:pPr>
            <w:r>
              <w:rPr>
                <w:rFonts w:ascii="Times New Roman" w:cs="Times New Roman" w:eastAsia="Times New Roman" w:hAnsi="Times New Roman"/>
                <w:sz w:val="13"/>
                <w:szCs w:val="13"/>
                <w:color w:val="0000FF"/>
              </w:rPr>
              <w:t>5</w:t>
            </w: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jc w:val="center"/>
              <w:ind w:left="158"/>
              <w:spacing w:after="0" w:line="143" w:lineRule="exact"/>
              <w:rPr>
                <w:sz w:val="20"/>
                <w:szCs w:val="20"/>
                <w:color w:val="auto"/>
              </w:rPr>
            </w:pPr>
            <w:r>
              <w:rPr>
                <w:rFonts w:ascii="Times New Roman" w:cs="Times New Roman" w:eastAsia="Times New Roman" w:hAnsi="Times New Roman"/>
                <w:sz w:val="13"/>
                <w:szCs w:val="13"/>
                <w:color w:val="0000FF"/>
                <w:w w:val="95"/>
              </w:rPr>
              <w:t>5,291</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center"/>
              <w:ind w:right="204"/>
              <w:spacing w:after="0"/>
              <w:rPr>
                <w:sz w:val="20"/>
                <w:szCs w:val="20"/>
                <w:color w:val="auto"/>
              </w:rPr>
            </w:pPr>
            <w:r>
              <w:rPr>
                <w:rFonts w:ascii="Times New Roman" w:cs="Times New Roman" w:eastAsia="Times New Roman" w:hAnsi="Times New Roman"/>
                <w:sz w:val="11"/>
                <w:szCs w:val="11"/>
                <w:color w:val="008000"/>
                <w:w w:val="93"/>
              </w:rPr>
              <w:t>(5)</w:t>
            </w:r>
          </w:p>
        </w:tc>
        <w:tc>
          <w:tcPr>
            <w:tcW w:w="200" w:type="dxa"/>
            <w:vAlign w:val="bottom"/>
          </w:tcPr>
          <w:p>
            <w:pPr>
              <w:spacing w:after="0"/>
              <w:rPr>
                <w:sz w:val="15"/>
                <w:szCs w:val="15"/>
                <w:color w:val="auto"/>
              </w:rPr>
            </w:pPr>
          </w:p>
        </w:tc>
        <w:tc>
          <w:tcPr>
            <w:tcW w:w="520" w:type="dxa"/>
            <w:vAlign w:val="bottom"/>
            <w:vMerge w:val="restart"/>
          </w:tcPr>
          <w:p>
            <w:pPr>
              <w:jc w:val="center"/>
              <w:ind w:right="224"/>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jc w:val="center"/>
              <w:ind w:right="179"/>
              <w:spacing w:after="0" w:line="143" w:lineRule="exact"/>
              <w:rPr>
                <w:sz w:val="20"/>
                <w:szCs w:val="20"/>
                <w:color w:val="auto"/>
              </w:rPr>
            </w:pPr>
            <w:r>
              <w:rPr>
                <w:rFonts w:ascii="Times New Roman" w:cs="Times New Roman" w:eastAsia="Times New Roman" w:hAnsi="Times New Roman"/>
                <w:sz w:val="13"/>
                <w:szCs w:val="13"/>
                <w:color w:val="0000FF"/>
              </w:rPr>
              <w:t>3</w:t>
            </w: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jc w:val="center"/>
              <w:ind w:left="158"/>
              <w:spacing w:after="0" w:line="143" w:lineRule="exact"/>
              <w:rPr>
                <w:sz w:val="20"/>
                <w:szCs w:val="20"/>
                <w:color w:val="auto"/>
              </w:rPr>
            </w:pPr>
            <w:r>
              <w:rPr>
                <w:rFonts w:ascii="Times New Roman" w:cs="Times New Roman" w:eastAsia="Times New Roman" w:hAnsi="Times New Roman"/>
                <w:sz w:val="13"/>
                <w:szCs w:val="13"/>
                <w:color w:val="0000FF"/>
                <w:w w:val="95"/>
              </w:rPr>
              <w:t>3,262</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center"/>
              <w:ind w:right="204"/>
              <w:spacing w:after="0"/>
              <w:rPr>
                <w:sz w:val="20"/>
                <w:szCs w:val="20"/>
                <w:color w:val="auto"/>
              </w:rPr>
            </w:pPr>
            <w:r>
              <w:rPr>
                <w:rFonts w:ascii="Times New Roman" w:cs="Times New Roman" w:eastAsia="Times New Roman" w:hAnsi="Times New Roman"/>
                <w:sz w:val="11"/>
                <w:szCs w:val="11"/>
                <w:color w:val="008000"/>
                <w:w w:val="93"/>
              </w:rPr>
              <w:t>(6)</w:t>
            </w:r>
          </w:p>
        </w:tc>
        <w:tc>
          <w:tcPr>
            <w:tcW w:w="200" w:type="dxa"/>
            <w:vAlign w:val="bottom"/>
          </w:tcPr>
          <w:p>
            <w:pPr>
              <w:spacing w:after="0"/>
              <w:rPr>
                <w:sz w:val="15"/>
                <w:szCs w:val="15"/>
                <w:color w:val="auto"/>
              </w:rPr>
            </w:pPr>
          </w:p>
        </w:tc>
        <w:tc>
          <w:tcPr>
            <w:tcW w:w="520" w:type="dxa"/>
            <w:vAlign w:val="bottom"/>
            <w:vMerge w:val="restart"/>
          </w:tcPr>
          <w:p>
            <w:pPr>
              <w:jc w:val="center"/>
              <w:ind w:right="224"/>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jc w:val="center"/>
              <w:ind w:right="179"/>
              <w:spacing w:after="0" w:line="143" w:lineRule="exact"/>
              <w:rPr>
                <w:sz w:val="20"/>
                <w:szCs w:val="20"/>
                <w:color w:val="auto"/>
              </w:rPr>
            </w:pPr>
            <w:r>
              <w:rPr>
                <w:rFonts w:ascii="Times New Roman" w:cs="Times New Roman" w:eastAsia="Times New Roman" w:hAnsi="Times New Roman"/>
                <w:sz w:val="13"/>
                <w:szCs w:val="13"/>
                <w:color w:val="0000FF"/>
              </w:rPr>
              <w:t>3</w:t>
            </w: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jc w:val="center"/>
              <w:ind w:left="158"/>
              <w:spacing w:after="0" w:line="143" w:lineRule="exact"/>
              <w:rPr>
                <w:sz w:val="20"/>
                <w:szCs w:val="20"/>
                <w:color w:val="auto"/>
              </w:rPr>
            </w:pPr>
            <w:r>
              <w:rPr>
                <w:rFonts w:ascii="Times New Roman" w:cs="Times New Roman" w:eastAsia="Times New Roman" w:hAnsi="Times New Roman"/>
                <w:sz w:val="13"/>
                <w:szCs w:val="13"/>
                <w:color w:val="0000FF"/>
                <w:w w:val="95"/>
              </w:rPr>
              <w:t>3,142</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center"/>
              <w:ind w:right="204"/>
              <w:spacing w:after="0"/>
              <w:rPr>
                <w:sz w:val="20"/>
                <w:szCs w:val="20"/>
                <w:color w:val="auto"/>
              </w:rPr>
            </w:pPr>
            <w:r>
              <w:rPr>
                <w:rFonts w:ascii="Times New Roman" w:cs="Times New Roman" w:eastAsia="Times New Roman" w:hAnsi="Times New Roman"/>
                <w:sz w:val="11"/>
                <w:szCs w:val="11"/>
                <w:color w:val="008000"/>
                <w:w w:val="93"/>
              </w:rPr>
              <w:t>(7)</w:t>
            </w:r>
          </w:p>
        </w:tc>
        <w:tc>
          <w:tcPr>
            <w:tcW w:w="200" w:type="dxa"/>
            <w:vAlign w:val="bottom"/>
          </w:tcPr>
          <w:p>
            <w:pPr>
              <w:spacing w:after="0"/>
              <w:rPr>
                <w:sz w:val="15"/>
                <w:szCs w:val="15"/>
                <w:color w:val="auto"/>
              </w:rPr>
            </w:pPr>
          </w:p>
        </w:tc>
        <w:tc>
          <w:tcPr>
            <w:tcW w:w="520" w:type="dxa"/>
            <w:vAlign w:val="bottom"/>
            <w:vMerge w:val="restart"/>
          </w:tcPr>
          <w:p>
            <w:pPr>
              <w:jc w:val="center"/>
              <w:ind w:right="22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jc w:val="center"/>
              <w:ind w:right="179"/>
              <w:spacing w:after="0" w:line="143" w:lineRule="exact"/>
              <w:rPr>
                <w:sz w:val="20"/>
                <w:szCs w:val="20"/>
                <w:color w:val="auto"/>
              </w:rPr>
            </w:pPr>
            <w:r>
              <w:rPr>
                <w:rFonts w:ascii="Times New Roman" w:cs="Times New Roman" w:eastAsia="Times New Roman" w:hAnsi="Times New Roman"/>
                <w:sz w:val="13"/>
                <w:szCs w:val="13"/>
                <w:color w:val="0000FF"/>
              </w:rPr>
              <w:t>5</w:t>
            </w: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jc w:val="center"/>
              <w:ind w:left="158"/>
              <w:spacing w:after="0" w:line="143" w:lineRule="exact"/>
              <w:rPr>
                <w:sz w:val="20"/>
                <w:szCs w:val="20"/>
                <w:color w:val="auto"/>
              </w:rPr>
            </w:pPr>
            <w:r>
              <w:rPr>
                <w:rFonts w:ascii="Times New Roman" w:cs="Times New Roman" w:eastAsia="Times New Roman" w:hAnsi="Times New Roman"/>
                <w:sz w:val="13"/>
                <w:szCs w:val="13"/>
                <w:color w:val="0000FF"/>
                <w:w w:val="95"/>
              </w:rPr>
              <w:t>5,778</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center"/>
              <w:ind w:right="204"/>
              <w:spacing w:after="0"/>
              <w:rPr>
                <w:sz w:val="20"/>
                <w:szCs w:val="20"/>
                <w:color w:val="auto"/>
              </w:rPr>
            </w:pPr>
            <w:r>
              <w:rPr>
                <w:rFonts w:ascii="Times New Roman" w:cs="Times New Roman" w:eastAsia="Times New Roman" w:hAnsi="Times New Roman"/>
                <w:sz w:val="11"/>
                <w:szCs w:val="11"/>
                <w:color w:val="008000"/>
                <w:w w:val="93"/>
              </w:rPr>
              <w:t>(8)</w:t>
            </w:r>
          </w:p>
        </w:tc>
        <w:tc>
          <w:tcPr>
            <w:tcW w:w="200" w:type="dxa"/>
            <w:vAlign w:val="bottom"/>
          </w:tcPr>
          <w:p>
            <w:pPr>
              <w:spacing w:after="0"/>
              <w:rPr>
                <w:sz w:val="15"/>
                <w:szCs w:val="15"/>
                <w:color w:val="auto"/>
              </w:rPr>
            </w:pPr>
          </w:p>
        </w:tc>
        <w:tc>
          <w:tcPr>
            <w:tcW w:w="520" w:type="dxa"/>
            <w:vAlign w:val="bottom"/>
            <w:vMerge w:val="restart"/>
          </w:tcPr>
          <w:p>
            <w:pPr>
              <w:jc w:val="center"/>
              <w:ind w:right="224"/>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jc w:val="center"/>
              <w:ind w:right="179"/>
              <w:spacing w:after="0" w:line="143" w:lineRule="exact"/>
              <w:rPr>
                <w:sz w:val="20"/>
                <w:szCs w:val="20"/>
                <w:color w:val="auto"/>
              </w:rPr>
            </w:pPr>
            <w:r>
              <w:rPr>
                <w:rFonts w:ascii="Times New Roman" w:cs="Times New Roman" w:eastAsia="Times New Roman" w:hAnsi="Times New Roman"/>
                <w:sz w:val="13"/>
                <w:szCs w:val="13"/>
                <w:color w:val="0000FF"/>
              </w:rPr>
              <w:t>6</w:t>
            </w: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jc w:val="center"/>
              <w:ind w:left="158"/>
              <w:spacing w:after="0" w:line="143" w:lineRule="exact"/>
              <w:rPr>
                <w:sz w:val="20"/>
                <w:szCs w:val="20"/>
                <w:color w:val="auto"/>
              </w:rPr>
            </w:pPr>
            <w:r>
              <w:rPr>
                <w:rFonts w:ascii="Times New Roman" w:cs="Times New Roman" w:eastAsia="Times New Roman" w:hAnsi="Times New Roman"/>
                <w:sz w:val="13"/>
                <w:szCs w:val="13"/>
                <w:color w:val="0000FF"/>
                <w:w w:val="95"/>
              </w:rPr>
              <w:t>6,091</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center"/>
              <w:ind w:right="204"/>
              <w:spacing w:after="0"/>
              <w:rPr>
                <w:sz w:val="20"/>
                <w:szCs w:val="20"/>
                <w:color w:val="auto"/>
              </w:rPr>
            </w:pPr>
            <w:r>
              <w:rPr>
                <w:rFonts w:ascii="Times New Roman" w:cs="Times New Roman" w:eastAsia="Times New Roman" w:hAnsi="Times New Roman"/>
                <w:sz w:val="11"/>
                <w:szCs w:val="11"/>
                <w:color w:val="008000"/>
                <w:w w:val="93"/>
              </w:rPr>
              <w:t>(9)</w:t>
            </w:r>
          </w:p>
        </w:tc>
        <w:tc>
          <w:tcPr>
            <w:tcW w:w="200" w:type="dxa"/>
            <w:vAlign w:val="bottom"/>
          </w:tcPr>
          <w:p>
            <w:pPr>
              <w:spacing w:after="0"/>
              <w:rPr>
                <w:sz w:val="15"/>
                <w:szCs w:val="15"/>
                <w:color w:val="auto"/>
              </w:rPr>
            </w:pPr>
          </w:p>
        </w:tc>
        <w:tc>
          <w:tcPr>
            <w:tcW w:w="520" w:type="dxa"/>
            <w:vAlign w:val="bottom"/>
            <w:vMerge w:val="restart"/>
          </w:tcPr>
          <w:p>
            <w:pPr>
              <w:jc w:val="center"/>
              <w:ind w:right="224"/>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jc w:val="center"/>
              <w:ind w:right="179"/>
              <w:spacing w:after="0" w:line="143" w:lineRule="exact"/>
              <w:rPr>
                <w:sz w:val="20"/>
                <w:szCs w:val="20"/>
                <w:color w:val="auto"/>
              </w:rPr>
            </w:pPr>
            <w:r>
              <w:rPr>
                <w:rFonts w:ascii="Times New Roman" w:cs="Times New Roman" w:eastAsia="Times New Roman" w:hAnsi="Times New Roman"/>
                <w:sz w:val="13"/>
                <w:szCs w:val="13"/>
                <w:color w:val="0000FF"/>
              </w:rPr>
              <w:t>5</w:t>
            </w: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jc w:val="center"/>
              <w:ind w:left="158"/>
              <w:spacing w:after="0" w:line="143" w:lineRule="exact"/>
              <w:rPr>
                <w:sz w:val="20"/>
                <w:szCs w:val="20"/>
                <w:color w:val="auto"/>
              </w:rPr>
            </w:pPr>
            <w:r>
              <w:rPr>
                <w:rFonts w:ascii="Times New Roman" w:cs="Times New Roman" w:eastAsia="Times New Roman" w:hAnsi="Times New Roman"/>
                <w:sz w:val="13"/>
                <w:szCs w:val="13"/>
                <w:color w:val="0000FF"/>
                <w:w w:val="95"/>
              </w:rPr>
              <w:t>5,233</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w w:val="97"/>
              </w:rPr>
              <w:t>(10)</w:t>
            </w:r>
          </w:p>
        </w:tc>
        <w:tc>
          <w:tcPr>
            <w:tcW w:w="200" w:type="dxa"/>
            <w:vAlign w:val="bottom"/>
          </w:tcPr>
          <w:p>
            <w:pPr>
              <w:spacing w:after="0"/>
              <w:rPr>
                <w:sz w:val="15"/>
                <w:szCs w:val="15"/>
                <w:color w:val="auto"/>
              </w:rPr>
            </w:pPr>
          </w:p>
        </w:tc>
        <w:tc>
          <w:tcPr>
            <w:tcW w:w="520" w:type="dxa"/>
            <w:vAlign w:val="bottom"/>
            <w:vMerge w:val="restart"/>
          </w:tcPr>
          <w:p>
            <w:pPr>
              <w:jc w:val="center"/>
              <w:ind w:right="204"/>
              <w:spacing w:after="0"/>
              <w:rPr>
                <w:sz w:val="20"/>
                <w:szCs w:val="20"/>
                <w:color w:val="auto"/>
              </w:rPr>
            </w:pPr>
            <w:r>
              <w:rPr>
                <w:rFonts w:ascii="Times New Roman" w:cs="Times New Roman" w:eastAsia="Times New Roman" w:hAnsi="Times New Roman"/>
                <w:sz w:val="11"/>
                <w:szCs w:val="11"/>
                <w:color w:val="008000"/>
                <w:w w:val="97"/>
              </w:rPr>
              <w:t>(10)</w:t>
            </w: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jc w:val="center"/>
              <w:ind w:right="179"/>
              <w:spacing w:after="0" w:line="143" w:lineRule="exact"/>
              <w:rPr>
                <w:sz w:val="20"/>
                <w:szCs w:val="20"/>
                <w:color w:val="auto"/>
              </w:rPr>
            </w:pPr>
            <w:r>
              <w:rPr>
                <w:rFonts w:ascii="Times New Roman" w:cs="Times New Roman" w:eastAsia="Times New Roman" w:hAnsi="Times New Roman"/>
                <w:sz w:val="13"/>
                <w:szCs w:val="13"/>
                <w:color w:val="0000FF"/>
              </w:rPr>
              <w:t>9</w:t>
            </w: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jc w:val="center"/>
              <w:ind w:left="158"/>
              <w:spacing w:after="0" w:line="143" w:lineRule="exact"/>
              <w:rPr>
                <w:sz w:val="20"/>
                <w:szCs w:val="20"/>
                <w:color w:val="auto"/>
              </w:rPr>
            </w:pPr>
            <w:r>
              <w:rPr>
                <w:rFonts w:ascii="Times New Roman" w:cs="Times New Roman" w:eastAsia="Times New Roman" w:hAnsi="Times New Roman"/>
                <w:sz w:val="13"/>
                <w:szCs w:val="13"/>
                <w:color w:val="0000FF"/>
                <w:w w:val="95"/>
              </w:rPr>
              <w:t>9,980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44.95</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restart"/>
          </w:tcPr>
          <w:p>
            <w:pPr>
              <w:jc w:val="center"/>
              <w:ind w:right="204"/>
              <w:spacing w:after="0"/>
              <w:rPr>
                <w:sz w:val="20"/>
                <w:szCs w:val="20"/>
                <w:color w:val="auto"/>
              </w:rPr>
            </w:pPr>
            <w:r>
              <w:rPr>
                <w:rFonts w:ascii="Times New Roman" w:cs="Times New Roman" w:eastAsia="Times New Roman" w:hAnsi="Times New Roman"/>
                <w:sz w:val="11"/>
                <w:szCs w:val="11"/>
                <w:color w:val="008000"/>
                <w:w w:val="87"/>
              </w:rPr>
              <w:t>(11)</w:t>
            </w:r>
          </w:p>
        </w:tc>
        <w:tc>
          <w:tcPr>
            <w:tcW w:w="72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3"/>
                <w:szCs w:val="13"/>
                <w:color w:val="0000FF"/>
              </w:rPr>
              <w:t>02/10/2032</w:t>
            </w:r>
          </w:p>
        </w:tc>
        <w:tc>
          <w:tcPr>
            <w:tcW w:w="640" w:type="dxa"/>
            <w:vAlign w:val="bottom"/>
          </w:tcPr>
          <w:p>
            <w:pPr>
              <w:jc w:val="center"/>
              <w:ind w:right="17"/>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8,636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restart"/>
          </w:tcPr>
          <w:p>
            <w:pPr>
              <w:jc w:val="center"/>
              <w:ind w:left="158"/>
              <w:spacing w:after="0"/>
              <w:rPr>
                <w:sz w:val="20"/>
                <w:szCs w:val="20"/>
                <w:color w:val="auto"/>
              </w:rPr>
            </w:pPr>
            <w:r>
              <w:rPr>
                <w:rFonts w:ascii="Times New Roman" w:cs="Times New Roman" w:eastAsia="Times New Roman" w:hAnsi="Times New Roman"/>
                <w:sz w:val="13"/>
                <w:szCs w:val="13"/>
                <w:color w:val="0000FF"/>
                <w:w w:val="95"/>
              </w:rPr>
              <w:t>8,636</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vMerge w:val="restart"/>
          </w:tcPr>
          <w:p>
            <w:pPr>
              <w:jc w:val="center"/>
              <w:ind w:right="37"/>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46.03</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center"/>
              <w:ind w:right="184"/>
              <w:spacing w:after="0"/>
              <w:rPr>
                <w:sz w:val="20"/>
                <w:szCs w:val="20"/>
                <w:color w:val="auto"/>
              </w:rPr>
            </w:pPr>
            <w:r>
              <w:rPr>
                <w:rFonts w:ascii="Times New Roman" w:cs="Times New Roman" w:eastAsia="Times New Roman" w:hAnsi="Times New Roman"/>
                <w:sz w:val="11"/>
                <w:szCs w:val="11"/>
                <w:color w:val="008000"/>
                <w:w w:val="97"/>
              </w:rPr>
              <w:t>(12)</w:t>
            </w:r>
          </w:p>
        </w:tc>
        <w:tc>
          <w:tcPr>
            <w:tcW w:w="720" w:type="dxa"/>
            <w:vAlign w:val="bottom"/>
            <w:gridSpan w:val="2"/>
          </w:tcPr>
          <w:p>
            <w:pPr>
              <w:jc w:val="center"/>
              <w:ind w:right="24"/>
              <w:spacing w:after="0"/>
              <w:rPr>
                <w:sz w:val="20"/>
                <w:szCs w:val="20"/>
                <w:color w:val="auto"/>
              </w:rPr>
            </w:pPr>
            <w:r>
              <w:rPr>
                <w:rFonts w:ascii="Times New Roman" w:cs="Times New Roman" w:eastAsia="Times New Roman" w:hAnsi="Times New Roman"/>
                <w:sz w:val="13"/>
                <w:szCs w:val="13"/>
                <w:color w:val="0000FF"/>
              </w:rPr>
              <w:t>02/22/2033</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13,899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center"/>
              <w:ind w:left="158"/>
              <w:spacing w:after="0"/>
              <w:rPr>
                <w:sz w:val="20"/>
                <w:szCs w:val="20"/>
                <w:color w:val="auto"/>
              </w:rPr>
            </w:pPr>
            <w:r>
              <w:rPr>
                <w:rFonts w:ascii="Times New Roman" w:cs="Times New Roman" w:eastAsia="Times New Roman" w:hAnsi="Times New Roman"/>
                <w:sz w:val="13"/>
                <w:szCs w:val="13"/>
                <w:color w:val="0000FF"/>
              </w:rPr>
              <w:t>13,899</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jc w:val="center"/>
              <w:ind w:right="3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7045960" cy="2646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5960" cy="2646045"/>
                    </a:xfrm>
                    <a:prstGeom prst="rect">
                      <a:avLst/>
                    </a:prstGeom>
                    <a:noFill/>
                  </pic:spPr>
                </pic:pic>
              </a:graphicData>
            </a:graphic>
          </wp:anchor>
        </w:drawing>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46.79</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(13)</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02/28/2034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21,808</w:t>
            </w:r>
          </w:p>
        </w:tc>
        <w:tc>
          <w:tcPr>
            <w:tcW w:w="700" w:type="dxa"/>
            <w:vAlign w:val="bottom"/>
          </w:tcPr>
          <w:p>
            <w:pPr>
              <w:spacing w:after="0"/>
              <w:rPr>
                <w:sz w:val="16"/>
                <w:szCs w:val="16"/>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21,808</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r>
      <w:tr>
        <w:trPr>
          <w:trHeight w:val="91"/>
        </w:trPr>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50.59</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03/02/2035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25,134</w:t>
            </w:r>
          </w:p>
        </w:tc>
        <w:tc>
          <w:tcPr>
            <w:tcW w:w="700" w:type="dxa"/>
            <w:vAlign w:val="bottom"/>
          </w:tcPr>
          <w:p>
            <w:pPr>
              <w:spacing w:after="0"/>
              <w:rPr>
                <w:sz w:val="16"/>
                <w:szCs w:val="16"/>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25,134</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20" w:right="28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Solstice Advanced Materials Inc. (the "Issuer") common stock. Fractional amounts have been rounded to the nearest whole number.</w:t>
      </w:r>
    </w:p>
    <w:p>
      <w:pPr>
        <w:spacing w:after="0" w:line="1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in connection with the Issuer's dividend that accrue to the reporting person in RSUs that vest at the same times as the underlying RSUs.</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equal installments on each of October 30, 2028 and October 30, 2029, subject to continued employment.</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July 30, 2026, subject to continued employment.</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July 29, 2027, subject to continued employment.</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July 28, 2026, subject to continued employment.</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March 1, 2027, subject to continued employment.</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2,996 on May 20, 2026, 2,992 on May 20, 2027 and 3,087 on May 20, 2028 (in each case, not including dividend equivalent rights), subject to continued employment.</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March 3, 2028, subject to continued employment.</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33% on each of February 24, 2027 and February 24, 2028, and 34% on February 24, 2029, subject to continued employment.</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are fully vested and exercisable.</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vest and become exercisable in equal installments on each of February 23, 2026 and February 23, 2027.</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vest and become exercisable in three equal installments on each of March 1, 2026, March 1, 2027 and March 1, 2028.</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vest and become exercisable in four equal installments on each of March 3, 2026, March 3, 2027, March 3, 2028 and March 3, 2029.</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Jay Shah for Tina Pierce</w:t>
            </w:r>
          </w:p>
        </w:tc>
        <w:tc>
          <w:tcPr>
            <w:tcW w:w="3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06/12/2026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20" w:right="3520" w:firstLine="3"/>
        <w:spacing w:after="0" w:line="339"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446" TargetMode="External"/><Relationship Id="rId14" Type="http://schemas.openxmlformats.org/officeDocument/2006/relationships/hyperlink" Target="http://www.sec.gov/cgi-bin/browse-edgar?action=getcompany&amp;CIK=0002064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2026-06-12T16:23:18Z</dcterms:created>
  <dcterms:modified xsi:type="dcterms:W3CDTF">2026-06-12T16:23:18Z</dcterms:modified>
</cp:coreProperties>
</file>