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310.xml.htm"/>
      <w:bookmarkStart w:id="1" w:name="kswkform4_17894213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Sewell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98,931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46,390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in connection with the Issuer's dividend that accrue to the reporting person in RSUs that vest at the same times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will vest 9,409 on March 17, 2027, 9,413 on March 17, 2028 and 9,692 on March 17, 2029 (in each case, not including dividend equivalent rights), subject to continued employment.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David B. Sewell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7514"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3980</Characters>
  <CharactersWithSpaces>4631</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