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UNITED STATES</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SECURITIES AND EXCHANGE COMMISSION</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 10-K</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40"/>
        <w:jc w:val="center"/>
        <w:rPr/>
      </w:pPr>
      <w:r>
        <w:rPr>
          <w:color w:val="000000"/>
        </w:rPr>
        <w:t xml:space="preserve">☒ </w:t>
      </w:r>
      <w:r>
        <w:rPr>
          <w:rFonts w:ascii="Arial;sans-serif" w:hAnsi="Arial;sans-serif"/>
          <w:b w:val="false"/>
          <w:color w:val="000000"/>
          <w:sz w:val="16"/>
        </w:rPr>
        <w:t>ANNUAL REPORT PURSUANT TO SECTION 13 OR 15(d)</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For the fiscal year ended December 31, 2025</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40"/>
        <w:jc w:val="center"/>
        <w:rPr/>
      </w:pPr>
      <w:r>
        <w:rPr>
          <w:color w:val="000000"/>
        </w:rPr>
        <w:t xml:space="preserve">☐ </w:t>
      </w:r>
      <w:r>
        <w:rPr>
          <w:rFonts w:ascii="Arial;sans-serif" w:hAnsi="Arial;sans-serif"/>
          <w:b w:val="false"/>
          <w:color w:val="000000"/>
          <w:sz w:val="16"/>
        </w:rPr>
        <w:t>TRANSITION REPORT PURSUANT TO SECTION 13 OR 15(d)</w:t>
      </w:r>
    </w:p>
    <w:p>
      <w:pPr>
        <w:pStyle w:val="TextBody"/>
        <w:bidi w:val="0"/>
        <w:spacing w:lineRule="auto" w:line="288" w:before="0" w:after="40"/>
        <w:jc w:val="center"/>
        <w:rPr/>
      </w:pPr>
      <w:r>
        <w:rPr>
          <w:rFonts w:ascii="Times New Roman;serif" w:hAnsi="Times New Roman;serif"/>
          <w:b w:val="false"/>
          <w:color w:val="000000"/>
          <w:sz w:val="16"/>
        </w:rPr>
        <w:t>O</w:t>
      </w:r>
      <w:r>
        <w:rPr>
          <w:rFonts w:ascii="Arial;sans-serif" w:hAnsi="Arial;sans-serif"/>
          <w:b w:val="false"/>
          <w:color w:val="000000"/>
          <w:sz w:val="16"/>
        </w:rPr>
        <w:t>F THE SECURITIES EXCHANGE ACT OF</w:t>
      </w:r>
      <w:r>
        <w:rPr>
          <w:color w:val="000000"/>
        </w:rPr>
        <w:t xml:space="preserve"> </w:t>
      </w:r>
      <w:r>
        <w:rPr>
          <w:rFonts w:ascii="Arial;sans-serif" w:hAnsi="Arial;sans-serif"/>
          <w:b w:val="false"/>
          <w:color w:val="000000"/>
          <w:sz w:val="16"/>
        </w:rPr>
        <w:t>1934</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For the transition period from ___to __</w:t>
      </w:r>
    </w:p>
    <w:p>
      <w:pPr>
        <w:pStyle w:val="TextBody"/>
        <w:bidi w:val="0"/>
        <w:spacing w:lineRule="auto" w:line="288" w:before="0" w:after="40"/>
        <w:jc w:val="center"/>
        <w:rPr/>
      </w:pPr>
      <w:r>
        <w:rPr>
          <w:rFonts w:ascii="Arial;sans-serif" w:hAnsi="Arial;sans-serif"/>
          <w:b w:val="false"/>
          <w:color w:val="000000"/>
          <w:sz w:val="16"/>
        </w:rPr>
        <w:t>Commission file number</w:t>
      </w:r>
      <w:r>
        <w:rPr>
          <w:color w:val="000000"/>
        </w:rPr>
        <w:t xml:space="preserve"> </w:t>
      </w:r>
      <w:r>
        <w:rPr>
          <w:rFonts w:ascii="Times New Roman;serif" w:hAnsi="Times New Roman;serif"/>
          <w:b w:val="false"/>
          <w:color w:val="000000"/>
          <w:sz w:val="16"/>
        </w:rPr>
        <w:t>001-42812</w:t>
      </w:r>
    </w:p>
    <w:p>
      <w:pPr>
        <w:pStyle w:val="TextBody"/>
        <w:bidi w:val="0"/>
        <w:spacing w:before="0" w:after="0"/>
        <w:jc w:val="center"/>
        <w:rPr/>
      </w:pPr>
      <w:r>
        <w:rPr/>
        <w:drawing>
          <wp:inline distT="0" distB="0" distL="0" distR="0">
            <wp:extent cx="16383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62865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00"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09"/>
        <w:gridCol w:w="209"/>
        <w:gridCol w:w="813"/>
        <w:gridCol w:w="780"/>
        <w:gridCol w:w="780"/>
        <w:gridCol w:w="523"/>
        <w:gridCol w:w="523"/>
        <w:gridCol w:w="555"/>
        <w:gridCol w:w="511"/>
        <w:gridCol w:w="511"/>
        <w:gridCol w:w="480"/>
        <w:gridCol w:w="208"/>
        <w:gridCol w:w="208"/>
        <w:gridCol w:w="208"/>
        <w:gridCol w:w="1021"/>
        <w:gridCol w:w="1013"/>
        <w:gridCol w:w="1415"/>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33-2919563</w:t>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115 Tabor Rd</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Morris Plains, NJ</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07950-2546</w:t>
            </w:r>
          </w:p>
        </w:tc>
      </w:tr>
      <w:tr>
        <w:trPr/>
        <w:tc>
          <w:tcPr>
            <w:tcW w:w="4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(Address of principal executive offices)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(Zip Code)</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(973) 370-8188</w:t>
            </w:r>
          </w:p>
        </w:tc>
        <w:tc>
          <w:tcPr>
            <w:tcW w:w="3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613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Title of each class</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accelerated filer,” “smaller reporting company,” and “emerging growth company” in Rule 12b-2 of the Exchange Act.</w:t>
      </w:r>
    </w:p>
    <w:tbl>
      <w:tblPr>
        <w:tblW w:w="6297" w:type="dxa"/>
        <w:jc w:val="left"/>
        <w:tblInd w:w="0" w:type="dxa"/>
        <w:tblLayout w:type="fixed"/>
        <w:tblCellMar>
          <w:top w:w="28" w:type="dxa"/>
          <w:left w:w="28" w:type="dxa"/>
          <w:bottom w:w="28" w:type="dxa"/>
          <w:right w:w="28" w:type="dxa"/>
        </w:tblCellMar>
      </w:tblPr>
      <w:tblGrid>
        <w:gridCol w:w="542"/>
        <w:gridCol w:w="478"/>
        <w:gridCol w:w="480"/>
        <w:gridCol w:w="258"/>
        <w:gridCol w:w="258"/>
        <w:gridCol w:w="260"/>
        <w:gridCol w:w="1052"/>
        <w:gridCol w:w="1052"/>
        <w:gridCol w:w="1056"/>
        <w:gridCol w:w="252"/>
        <w:gridCol w:w="252"/>
        <w:gridCol w:w="35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7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60"/>
              <w:jc w:val="left"/>
              <w:rPr>
                <w:color w:val="000000"/>
              </w:rPr>
            </w:pPr>
            <w:r>
              <w:rPr>
                <w:color w:val="000000"/>
              </w:rPr>
              <w:t>☐</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Accelerated filer</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776" w:type="dxa"/>
            <w:gridSpan w:val="3"/>
            <w:tcBorders/>
            <w:tcMar>
              <w:top w:w="0" w:type="dxa"/>
              <w:left w:w="0" w:type="dxa"/>
              <w:bottom w:w="0" w:type="dxa"/>
              <w:right w:w="0" w:type="dxa"/>
            </w:tcMar>
            <w:vAlign w:val="center"/>
          </w:tcPr>
          <w:p>
            <w:pPr>
              <w:pStyle w:val="TableContents"/>
              <w:bidi w:val="0"/>
              <w:spacing w:lineRule="auto" w:line="153" w:before="0" w:after="0"/>
              <w:ind w:left="0" w:right="0" w:firstLine="460"/>
              <w:jc w:val="left"/>
              <w:rPr>
                <w:rFonts w:ascii="Wingdings;sans-serif" w:hAnsi="Wingdings;sans-serif"/>
                <w:b w:val="false"/>
                <w:color w:val="000000"/>
                <w:sz w:val="14"/>
              </w:rPr>
            </w:pPr>
            <w:r>
              <w:rPr>
                <w:rFonts w:ascii="Wingdings;sans-serif" w:hAnsi="Wingdings;sans-serif"/>
                <w:b w:val="false"/>
                <w:color w:val="000000"/>
                <w:sz w:val="14"/>
              </w:rPr>
              <w:t>x</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2025, the last business day of the Registrant’s most recently completed second fiscal quarter, there was no established public market for the Registrant’s common shares. The registrant’s common stock began “regular way” trading on The Nasdaq Stock Market LLC on October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158,747,545 of the Registrant’s common shares outstanding at February 12,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by Part III of this Annual Report on Form 10-K is incorporated by reference from the Registrant’s Definitive Proxy Statement for the 2026 Annual Meeting of Shareowners, to be filed with the U.S. Securities and Exchange Commission within 120 days after the end of the fiscal year to which this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5"/>
        <w:gridCol w:w="240"/>
        <w:gridCol w:w="240"/>
        <w:gridCol w:w="2991"/>
        <w:gridCol w:w="2991"/>
        <w:gridCol w:w="3000"/>
        <w:gridCol w:w="136"/>
        <w:gridCol w:w="136"/>
        <w:gridCol w:w="196"/>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Cautionary Statement Concerning Foward-Looking Statements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5">
              <w:r>
                <w:rPr>
                  <w:rStyle w:val="InternetLink"/>
                  <w:rFonts w:ascii="Times New Roman;serif" w:hAnsi="Times New Roman;serif"/>
                  <w:b w:val="false"/>
                  <w:color w:val="0000FF"/>
                  <w:sz w:val="20"/>
                  <w:u w:val="single"/>
                </w:rPr>
                <w:t>1</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 1</w:t>
            </w:r>
          </w:p>
        </w:tc>
        <w:tc>
          <w:tcPr>
            <w:tcW w:w="8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Business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64">
              <w:r>
                <w:rPr>
                  <w:rStyle w:val="InternetLink"/>
                  <w:rFonts w:ascii="Times New Roman;serif" w:hAnsi="Times New Roman;serif"/>
                  <w:b w:val="false"/>
                  <w:color w:val="0000FF"/>
                  <w:sz w:val="20"/>
                  <w:u w:val="single"/>
                </w:rPr>
                <w:t>3</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2">
              <w:r>
                <w:rPr>
                  <w:rStyle w:val="InternetLink"/>
                  <w:rFonts w:ascii="Times New Roman;serif" w:hAnsi="Times New Roman;serif"/>
                  <w:b w:val="false"/>
                  <w:color w:val="0000FF"/>
                  <w:sz w:val="20"/>
                  <w:u w:val="single"/>
                </w:rPr>
                <w:t>18</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Unresolved Staff Comments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880">
              <w:r>
                <w:rPr>
                  <w:rStyle w:val="InternetLink"/>
                  <w:rFonts w:ascii="Times New Roman;serif" w:hAnsi="Times New Roman;serif"/>
                  <w:b w:val="false"/>
                  <w:color w:val="0000FF"/>
                  <w:sz w:val="20"/>
                  <w:u w:val="single"/>
                </w:rPr>
                <w:t>43</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895">
              <w:r>
                <w:rPr>
                  <w:rStyle w:val="InternetLink"/>
                  <w:rFonts w:ascii="Times New Roman;serif" w:hAnsi="Times New Roman;serif"/>
                  <w:b w:val="false"/>
                  <w:color w:val="0000FF"/>
                  <w:sz w:val="20"/>
                  <w:u w:val="single"/>
                </w:rPr>
                <w:t>43</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Properties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06">
              <w:r>
                <w:rPr>
                  <w:rStyle w:val="InternetLink"/>
                  <w:rFonts w:ascii="Times New Roman;serif" w:hAnsi="Times New Roman;serif"/>
                  <w:b w:val="false"/>
                  <w:color w:val="0000FF"/>
                  <w:sz w:val="20"/>
                  <w:u w:val="single"/>
                </w:rPr>
                <w:t>46</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16">
              <w:r>
                <w:rPr>
                  <w:rStyle w:val="InternetLink"/>
                  <w:rFonts w:ascii="Times New Roman;serif" w:hAnsi="Times New Roman;serif"/>
                  <w:b w:val="false"/>
                  <w:color w:val="0000FF"/>
                  <w:sz w:val="20"/>
                  <w:u w:val="single"/>
                </w:rPr>
                <w:t>46</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25">
              <w:r>
                <w:rPr>
                  <w:rStyle w:val="InternetLink"/>
                  <w:rFonts w:ascii="Times New Roman;serif" w:hAnsi="Times New Roman;serif"/>
                  <w:b w:val="false"/>
                  <w:color w:val="0000FF"/>
                  <w:sz w:val="20"/>
                  <w:u w:val="single"/>
                </w:rPr>
                <w:t>46</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Market for Registrant’s Common Equity, Related Stockholder Matters and Issuer Purchases of Equity Securities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53">
              <w:r>
                <w:rPr>
                  <w:rStyle w:val="InternetLink"/>
                  <w:rFonts w:ascii="Times New Roman;serif" w:hAnsi="Times New Roman;serif"/>
                  <w:b w:val="false"/>
                  <w:color w:val="0000FF"/>
                  <w:sz w:val="20"/>
                  <w:u w:val="single"/>
                </w:rPr>
                <w:t>47</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65">
              <w:r>
                <w:rPr>
                  <w:rStyle w:val="InternetLink"/>
                  <w:rFonts w:ascii="Times New Roman;serif" w:hAnsi="Times New Roman;serif"/>
                  <w:b w:val="false"/>
                  <w:color w:val="0000FF"/>
                  <w:sz w:val="20"/>
                  <w:u w:val="single"/>
                </w:rPr>
                <w:t>48</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67">
              <w:r>
                <w:rPr>
                  <w:rStyle w:val="InternetLink"/>
                  <w:rFonts w:ascii="Times New Roman;serif" w:hAnsi="Times New Roman;serif"/>
                  <w:b w:val="false"/>
                  <w:color w:val="0000FF"/>
                  <w:sz w:val="20"/>
                  <w:u w:val="single"/>
                </w:rPr>
                <w:t>49</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02">
              <w:r>
                <w:rPr>
                  <w:rStyle w:val="InternetLink"/>
                  <w:rFonts w:ascii="Times New Roman;serif" w:hAnsi="Times New Roman;serif"/>
                  <w:b w:val="false"/>
                  <w:color w:val="0000FF"/>
                  <w:sz w:val="20"/>
                  <w:u w:val="single"/>
                </w:rPr>
                <w:t>62</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29">
              <w:r>
                <w:rPr>
                  <w:rStyle w:val="InternetLink"/>
                  <w:rFonts w:ascii="Times New Roman;serif" w:hAnsi="Times New Roman;serif"/>
                  <w:b w:val="false"/>
                  <w:color w:val="0000FF"/>
                  <w:sz w:val="20"/>
                  <w:u w:val="single"/>
                </w:rPr>
                <w:t>63</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and Disagreements with Accountants on Accounting and Financial Disclosure</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85">
              <w:r>
                <w:rPr>
                  <w:rStyle w:val="InternetLink"/>
                  <w:rFonts w:ascii="Times New Roman;serif" w:hAnsi="Times New Roman;serif"/>
                  <w:b w:val="false"/>
                  <w:color w:val="0000FF"/>
                  <w:sz w:val="20"/>
                  <w:u w:val="single"/>
                </w:rPr>
                <w:t>110</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996">
              <w:r>
                <w:rPr>
                  <w:rStyle w:val="InternetLink"/>
                  <w:rFonts w:ascii="Times New Roman;serif" w:hAnsi="Times New Roman;serif"/>
                  <w:b w:val="false"/>
                  <w:color w:val="0000FF"/>
                  <w:sz w:val="20"/>
                  <w:u w:val="single"/>
                </w:rPr>
                <w:t>110</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006">
              <w:r>
                <w:rPr>
                  <w:rStyle w:val="InternetLink"/>
                  <w:rFonts w:ascii="Times New Roman;serif" w:hAnsi="Times New Roman;serif"/>
                  <w:b w:val="false"/>
                  <w:color w:val="0000FF"/>
                  <w:sz w:val="20"/>
                  <w:u w:val="single"/>
                </w:rPr>
                <w:t>110</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Disclosure Regarding Foreign Jurisdictions that Prevent Inspections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017">
              <w:r>
                <w:rPr>
                  <w:rStyle w:val="InternetLink"/>
                  <w:rFonts w:ascii="Times New Roman;serif" w:hAnsi="Times New Roman;serif"/>
                  <w:b w:val="false"/>
                  <w:color w:val="0000FF"/>
                  <w:sz w:val="20"/>
                  <w:u w:val="single"/>
                </w:rPr>
                <w:t>110</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8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Directors, Executive Officers and Corporate Governance</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791">
              <w:r>
                <w:rPr>
                  <w:rStyle w:val="InternetLink"/>
                  <w:rFonts w:ascii="Times New Roman;serif" w:hAnsi="Times New Roman;serif"/>
                  <w:b w:val="false"/>
                  <w:color w:val="0000FF"/>
                  <w:sz w:val="20"/>
                  <w:u w:val="single"/>
                </w:rPr>
                <w:t>111</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08">
              <w:r>
                <w:rPr>
                  <w:rStyle w:val="InternetLink"/>
                  <w:rFonts w:ascii="Times New Roman;serif" w:hAnsi="Times New Roman;serif"/>
                  <w:b w:val="false"/>
                  <w:color w:val="0000FF"/>
                  <w:sz w:val="20"/>
                  <w:u w:val="single"/>
                </w:rPr>
                <w:t>111</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Security Ownership of Certain Beneficial Owners and Management and Related Stockholder Matters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14">
              <w:r>
                <w:rPr>
                  <w:rStyle w:val="InternetLink"/>
                  <w:rFonts w:ascii="Times New Roman;serif" w:hAnsi="Times New Roman;serif"/>
                  <w:b w:val="false"/>
                  <w:color w:val="0000FF"/>
                  <w:sz w:val="20"/>
                  <w:u w:val="single"/>
                </w:rPr>
                <w:t>111</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Certain Relationships and Related Transactions, and Director Independence</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220">
              <w:r>
                <w:rPr>
                  <w:rStyle w:val="InternetLink"/>
                  <w:rFonts w:ascii="Times New Roman;serif" w:hAnsi="Times New Roman;serif"/>
                  <w:b w:val="false"/>
                  <w:color w:val="0000FF"/>
                  <w:sz w:val="20"/>
                  <w:u w:val="single"/>
                </w:rPr>
                <w:t>111</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Principal Accountant Fees and Services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071">
              <w:r>
                <w:rPr>
                  <w:rStyle w:val="InternetLink"/>
                  <w:rFonts w:ascii="Times New Roman;serif" w:hAnsi="Times New Roman;serif"/>
                  <w:b w:val="false"/>
                  <w:color w:val="0000FF"/>
                  <w:sz w:val="20"/>
                  <w:u w:val="single"/>
                </w:rPr>
                <w:t>111</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Part IV</w:t>
            </w:r>
          </w:p>
        </w:tc>
        <w:tc>
          <w:tcPr>
            <w:tcW w:w="8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Exhibits and Financial Statement Schedules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149">
              <w:r>
                <w:rPr>
                  <w:rStyle w:val="InternetLink"/>
                  <w:rFonts w:ascii="Times New Roman;serif" w:hAnsi="Times New Roman;serif"/>
                  <w:b w:val="false"/>
                  <w:color w:val="0000FF"/>
                  <w:sz w:val="20"/>
                  <w:u w:val="single"/>
                </w:rPr>
                <w:t>112</w:t>
              </w:r>
            </w:hyperlink>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Form 10-K Summary</w:t>
            </w:r>
          </w:p>
        </w:tc>
        <w:tc>
          <w:tcPr>
            <w:tcW w:w="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103">
              <w:r>
                <w:rPr>
                  <w:rStyle w:val="InternetLink"/>
                  <w:rFonts w:ascii="Times New Roman;serif" w:hAnsi="Times New Roman;serif"/>
                  <w:b w:val="false"/>
                  <w:color w:val="0000FF"/>
                  <w:sz w:val="20"/>
                  <w:u w:val="single"/>
                </w:rPr>
                <w:t>115</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1156d3e48484912b4e5b1e4c6e171d4_3155">
              <w:r>
                <w:rPr>
                  <w:rStyle w:val="InternetLink"/>
                  <w:rFonts w:ascii="Times New Roman;serif" w:hAnsi="Times New Roman;serif"/>
                  <w:b w:val="false"/>
                  <w:color w:val="0000FF"/>
                  <w:sz w:val="20"/>
                  <w:u w:val="singl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and our business and financial results. Forward-looking statements often include words such as “anticipates,” “estimates,” “expects,” “positioned,” “projects,” “forecasts,” “intends,” “plans,” “continues,” “could,” “believes,” “may,” “will,” “would,” “should,” “goals” and words and terms of similar substance in connection with discussions of future operating or financial performance.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Although we believe that the forward-looking statements contained in this report are based on reasonable assumptions, you should be aware that a variety of factors, many of which are difficult to predict and outside of our control, could affect our actual financial results or results of operations and could cause actual results to differ materially from those in such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limited operating history as an independent, publicly traded company and unreliability of historical consolidated financial information as an indicator of our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develop new technologies and introduce new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overall decline in the health of the economy and the industries in which we operate, including as a result of inflation, tariffs and other trade barriers and restrictions, market volatility, geopolitical instability and social unrest, the possibility of an economic downturn or recession or other macroeconomic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price and availability of raw materials that we use to produce our products, including due to factors such as supply chain disruptions and the impact of inflation;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comply with complex government regulations and the impact of changes in such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global climate change and related regulations and changes in customer demand;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 and political perceptions of nuclear energy and radioactive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economic, political, regulatory, foreign exchange and other risks of international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tariffs or other restrictions on foreign imports;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borrow funds and access capital markets and any limitations in the terms of our indebtedness;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successfully in the markets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on our revenue and cash flow from seasonal fluctuations and cyclical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concentrations of our credit, counterparty and market risk;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or effectively integrate potential acquisitions or complete potential divestitures;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joint ventures and strategic co-development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recruit and retain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environmental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hazardous nature of chemical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decommissioning and remediation expenses and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litigation matters, including disputes related to the Spin-off (as defined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potential cybersecurity attacks, data privacy breaches and other operational disruptions;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stakeholder interest in public company performance, disclosure, and goal-setting with respect to sustainability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protect and enforce our intellectual property or to be successful in litigation related to our intellectual property or the intellectual property of others, or competitors developing similar or superior intellectual property or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unforeseen U.S. federal income tax and foreign tax liabilities and our ability to achieve anticipated tax treatments in connection with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income tax reform;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operate as an independent, publicly traded company without certain benefits available to us as a part of Honeywell International Inc. (“Honeywell”) prior to the Spin-off, including managing the costs of operating as an independent company following the Spin-off;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some or all of the benefits that we expect to achieve from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inability to maintain intellectual property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timing, declaration, amount and payment of any dividend program the Company may adopt;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cash contributions to defined benefit pension plans;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proper and effective internal controls.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and other factors are more fully discussed elsewhere in this Annual Report on Form 10-K, including in Item 1A. “Risk Factors” and Item 7. “Management’s Discussion and Analysis of Financial Condition and Results of Operations,” as may be updated from time to time in our Securities and Exchange Commission (“SEC”) filings. These risks could cause actual results to differ materially from those implied by forward-looking statements in this report.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 Solstice does not undertake to update or revise any of its forward-looking statements, which speak only as of the date they are made, except as may be required by law or regulation.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“Solstice Advanced Materials,” “we,” “us,” “our,” or the “Company”) is a global, differentiated advanced materials company and a leading global provider of refrigerants, blowing agents, conversion services for the nuclear energy sector, semiconductor materials, protective fibers and healthcare packaging. We operate through two segments, reported as Refrigerants &amp; Applied Solutions (“RAS”) and Electronic &amp; Specialty Materials (“ESM”). Our business is recognized as an industry innovator as well as a technology and quality leader, supported by some of the industry’s most well-known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RAS segment is a leading manufacturer of low global warming potential (“LGWP”) refrigerants, blowing agents, solvents, and aerosol materials, as well as conversion services for the nuclear energy sector. RAS serves the end markets of cooling, air conditioning and refrigeration (“HVAC/R”), automotive, nuclear energy, building and appliance insulation, and healthcare. RAS products include, among others, LGWP refrigerants, blowing agents, aerosol propellants, cleaning solvents, high-barrier pharmaceutical packaging materials and conversion services for nuclear energy providers. Our products are distributed and sold through well-known brands like Solstice, Genetron, and Aclar. 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 Our products are distributed and sold through well-known brands like Spectra, Fluka, and Hydranal.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benefit from strong secular demand resulting from certain growing trends, including government regulated sustainability targets, semiconductor production, healthcare and life sciences, defense and safety and advanced electrification—all across a diverse set of products, systems and solutions. Over the last decade, we tailored our products toward highly specialized offerings in targeted, high-growth end markets that value differentiated technology and manufacturing capabilities. We maintain longstanding leadership positions backed by decades of innovation in high value-added product segments. Our strong manufacturing capabilities are often located in proximity to our customers across the globe. Our long history of innovation, supported by over 5,700 issued patents and pending applications as of December 31, 2025, allows us to closely collaborate with our customers, providing us with a client-specific, specialized product portfolio.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2025, we served over 3,000 customers across a wide range of end markets in approximately 120 countries and territories. Our global presence included 20 manufacturing sites, four standalone research and development (“R&amp;D”) sites and approximately 4,100 employees as of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create value for our stakeholders and enhance our value proposition to customers through defined and actionable strategies. We improve our customer offerings by capitalizing on secular growth trends and making targeted investments into innovation and manufacturing capabilities. We enhance our growth prospects through disciplined portfolio management, including organic expansion into higher-value adjacent products and end markets. We expect to evaluate opportunities for inorganic growth through selective strategic acquisitions. We also focus on disciplined cost management and leveraging our supply chain expertise to support profitable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strong Adjusted EBITDA margin profile is supported by the Solstice operating model, which utilizes systems, processes, best practices and management philosophies spanning across the whole organization and benefiting customers and stakeholders. We use, evolve, and tailor tools and processes to execute against and enhance our operating model with a focus on five key organizational pillars—innovation and commercialization, commercial excellence and growth, capital deployment and optimization, supply chain and logistics, and manufacturing excellence. We strongly believe that our operating model provides us with strong competitive advantages relative to our peers. Our operating model is deeply embedded throughout our organization, across business lines and hierarchical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Spin-off from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8, 2024, Honeywell International Inc. (“Honeywell”) announced its plan to spin-off its Advanced Materials business into an independent, U.S. publicly traded company through a pro rata distribution of all of the outstanding common shares of Solstice Advanced Materials to Honeywell shareowners (the “Spin-off”) that would be tax-free for U.S. federal tax purposes. On October 30, 2025, the Spin-off was consummated by means of a pro rata distribution (the “Distribution”), which was intended to be tax-free for U.S. federal tax purposes, of all of the issued and outstanding Solstice Advanced Materials common shares to Honeywell’s shareowners of record as of the close of business on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does not own any Solstice Advanced Materials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benefit from the following competitive strengths: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Leader in Innovative Advanced Materials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 global leader in advanced materials, providing innovative and specialized offerings with strategic positions in targeted, high-growth end markets that value differentiated technology and manufacturing capabilities, resulting in a high level of customer intimacy.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operates in high value-added specialty solutions markets, requiring complex chemistry and material science know-how. Our portfolio focuses on critical, enabling solutions which help our end customers solve environmentally-driven regulatory challenges, provide unique lightweight defense products and develop cutting edge products in the semiconductor, healthcare and life sciences markets. Across our diverse business lines, we are recognized as a market leader through our technology, quality and innovation.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our brands, such as Solstice, Genetron, Aclar, Spectra, Fluka, and Hydranal, is valued for high quality, purity and safety standards, as well as high customer satisfaction throughout the industry. As a technology leader, we significantly focus on proprietary solutions, supported by a differentiated intellectual property portfolio with over 5,700 issued patents and pending applications as of December 31, 2025. We operate four standalone focused R&amp;D centers while a majority of our 20 manufacturing sites have integrated R&amp;D capabilities. We employ a dedicated team of over 300 technologists and engineers around the globe, helping us to be at the forefront of innovation. We maintain a leading manufacturing base with unique capabilities, global scale and customer proximity. Our extensive experience in chemical synthesis and commercial-scale manufacturing leads to the development of process-related patents and other proprietary technology (including know-how and trade secrets).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Deep Customer Relationships and Manufacturing Proximity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help solve the most complex problems for our customers by providing differentiated and highly specialized solutions, with unique manufacturing capabilities in proximity to our customer base, and which are often developed in partnership with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serve a diverse and global customer base of over 3,000 customers, largely comprised of blue chip companies and industry leaders, as well as government agencies, across a variety of resilient end markets. In 2025, no single customer accounted for more than 10% of our net sales, and our top 10 customers accounted for less than 20% of our net sales. The strength of our customer relationships and the quality of our differentiated products facilitate our ability to enter into long-term customer contracts. This is demonstrated by an average customer tenure of approximately 10 years. We have supplied many of our largest customers for several decades and we continue to cultivate our deep customer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 high level of customer intimacy achieved through our specialized, client-specific, manufacturing know-how, we benefit from manufacturing sites located in close physical proximity to our customers. We focus on providing strong supply chain security and believe we will benefit from reshoring trends and policies. We maintain a strong U.S. presence, as well as a global footprint strengthened by partners across the globe, especially in India and other parts of Asia. We manage a large, global customer base across approximately 120 countries and territories. Furthermore, our manufacturing footprint in the U.S. includes growing end markets experiencing increasing investments, such as cooling, nuclear energy, or semiconductors. These factors result in high customer retention, characterized by long customer tenure, low churn rates and a growing customer base.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Long-Term Secular Growth Across End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benefit from strong secular demand resulting from certain growing trends, including government regulated sustainability targets, global nuclear energy investment, semiconductor production, healthcare and life sciences, defense and safety and advanced electrification—all across a diverse set of products, systems and solutions. Our exposure to long-term secular growth trends across segments results from our efforts to position our product lines toward highly specialized offerings in targeted, high-growth end markets.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Value Creation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create value for customers and stakeholders through defined and actionable strategies. We believe our strong balance sheet and market positions, together with flexible capital allocation, support growth opportunities and provide us with the flexibility to consider programs to return capital to shareowners in the future. Our organic growth is driven by our leadership positions, new product innovations, manufacturing capabilities, robust customer base and positive secular global trends. Our organic growth is enhanced through customer-partnered innovation and expansion into adjacent and new products, geographies, customer groups and end markets. Previously established ventures with strategic partners in key geographies allow us to enter new markets, accelerate go-to-market speed, drive local adoption and increase customer proximity. We leverage global manufacturing partnerships to help us drive regional growth while focusing on efficient cost structures to sustain our strong margin profile.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Inorganically, we continuously identify and evaluate a robust pipeline of strategic acquisition targets to realize value upside and optimize our portfolio. We are well positioned to pursue inorganic growth in various advanced materials businesses characterized by differentiated innovation in high-growth markets, and expect to benefit from the rigorous application of our operating model, validated by a track record of value creation in our core businesses.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Resilient Financial Profile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have a financial profile characterized by resilience, including medium-term low to mid single digit organic growth and robust Adjusted EBITDA margins and a strong balance sheet.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sales growth has benefited from rising customer demand and our ability to drive value for customers, realized in pricing for products and solutions according to a value-based approach. Our diversified product lines, customer base and end markets allow significant net sales visibility given our long-term customer contracts. Our strong customer base, coupled with our innovative R&amp;D teams and technical client-specific support and intellectual property, facilitate the recurring nature of our 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Adjusted EBITDA margin profile is supported by our high-value-add specialty solutions, manufacturing expertise, and customer proximity, supported by the Solstice operating model. We believe our value proposition creates strong customer demand and loyalty, given the strong reliability and quality of our products. Driven by the continuous implementation and execution of this operating model, we expect to experience consistent and superior sales, order and pricing management, faster execution speed, greater customer satisfaction, higher manufacturing efficiencies, cost savings and increased innovation and product development.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order rates have surpassed our existing production capacity for certain key product lines. In 2025, we continuously invested in our business and production capabilities, with capital expenditures representing 10% of net sales. As outlined in “Management’s Discussion and Analysis of Financial Condition and Results of Operations,” and facilitated by our financial profile, our capital expenditures are expected to remain at or above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in the near-term due to strategic and disciplined project-related manufacturing expansion as a response to expected long-term customer demand beyond current production capacity.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Experienced Management Team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team combines extensive industry experience and demonstrated leadership with a proven track record. Our leadership team is composed of experts from both Honeywell and other industry-leading firms, who have worked to position our business to successfully operate within high-value-add specialty solutions markets and delivered growth, profitability and competitive strength. Our executive management team has an average of approximately 25 years of relevant experience, primarily in the advanced materials and specialty chemicals industries.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executive leadership team is supported by a strong and experienced mid-level management team and approximately 4,100 employees who drive product innovation, manage day-to-day operations, deliver best-in-class customer service and execute our long-term strategy. Members of the second-layer management team, directly reporting to segment leadership, average over 20 years of relevant industry experience in advanced materials and specialty chemicals sectors. Both the top- and mid-level management teams maintain strong alignment with our shareowners’ interests, with managerial incentives tied to shareowner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Strategies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Utilize Our Leading Positions to Capture Organic Secular Growth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benefit from leading positions across our existing business lines in LGWP refrigerant materials, blowing agents, conversion services for the nuclear energy sector, specialty fibers, electronic materials, healthcare and life sciences. Under our product platforms, we believe we are favorably positioned to capture the long-term secular growth trends in the markets our segments serve.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Drive Innovation in Close Partnership with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some of the industry’s most innovative R&amp;D centers, which provide a strong basis for future innovation and the continued development of differentiated products, technologies and patents. Each business is responsible for executing an innovation roadmap and ensuring alignment with our long-term R&amp;D and company strategy. Individual innovation projects and overall innovation portfolio management will be guided by the Solstice operating model to ensure alignment, maximize efficiency and leverage group resources. Our net sales are influenced by new product introductions, defined as new products launched in the past five years, which contributed 50% of our sales in 2025. Ongoing investments in both our core and new products help us to sustain competitive product offerings and give us confidence around our superior innovation capabilities and successful customer collaborations.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large global customer base and strong customer relationships by developing client-specific solutions to solve our customers’ most complex problems. We partner with multiple customers to develop our next-generation phase-change materials for a variety of end applications. We remain close to our customers through production proximity and co-development. We believe that developing new solutions in partnership with customers provides a high level of predictability for potential sales.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 Further into Our Manufacturing Capabilities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strong demand growth across our major business lines, which supports our strategy to efficiently deploy capital to maintain and upgrade our world-class production capabilities.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leverage partnerships to share investments into new large-scale production facilities, while benefiting from partnership synergies and cost-sharing. Such partnerships and joint ventures help us to drive local product adoption and increase customer proximity, in addition to our wholly owned operations. We expect benefits from rapid execution, continuing to leverage our extensive R&amp;D expertise and flexible pilot facilities. Our advanced pilot and scale up capabilities allow us to design and start up new production capabilities efficiently. We continuously adapt our unique production strategies and implement stage-gated approaches where necessary, allowing us flexibility in market entry strategies across key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best practices under the Solstice operating model to help us drive operational efficiencies and mechanical integrity within our factories. We remain committed to the highest standards of safety, governance and environmental responsibility in our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Further Expand into Adjacent Products and End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we are well positioned to utilize our common platforms and manufacturing capabilities to expand into adjacent products and markets in the near-to mid-term. We have significant experience in value-added product portfolio expansion, targeting growth and margin accretive business areas. For instance, we have successfully expanded our LGWP refrigerant solutions into multiple end markets, including automotive, stationary, foam and industrial and healthcare. Additionally, we successfully entered the copper manganese sputtering targets market for advanced-node semiconductors by leveraging our 50 years of leadership experience as an electronic materials supplier.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Accelerate Growth Through Portfolio Optimization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leadership continuously reassesses and focuses on optimizing our existing product portfolio. We believe we are well positioned to pursue inorganic growth strategies in numerous business lines. We regularly identify and evaluate a robust pipeline of acquisition targets across all businesses to broaden our portfolio, access differentiated technologies and innovations, and expand our exposure to high-growth markets. We expect our agility and independence in capital allocation decisions will allow us to effectively pursue identified, actionable acquisition opportunities.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Maintain a Sharp Focus on Cost Structure and Superior Execution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maintain and expand our best-in-class Adjusted EBITDA margins. An integral part of our robust margin profile is our focus on high value-add specialty solutions for our customers. By focusing on strongly differentiated, customer-specific solutions, we expect our customers to continue purchasing our products based on quality and reliability as key differentiators.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lean cost structure based on operational excellence and continuous improvement guided by the Solstice operating model. Our manufacturing processes are continuously monitored and analyzed, leading to improved manufacturing standards, including our world-class safety commitment, and asset efficiency. Our global manufacturing footprint and proximity to customers, combined with strategic production partnerships, support our lean cost structure. We benefit from commercial excellence through productive supplier negotiations and scale across common production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Portfolio and Reported 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through two segments, reported as RAS and ESM. Each segment has its own product portfolio and set of complementary businesses, serving distinct end markets. RAS primarily focuses on specialty solutions across the molecular value chain of LGWP refrigerant, blowing agent, solvent and aerosol materials for various end markets such as HVAC/R, automotive, energy, building and appliance insulation and healthcare, as well as conversion services for the nuclear energy sector. ESM provides primarily electronic materials, industrial-grade fibers and laboratory life sciences chemicals for diverse end markets such as semiconductors, defense, pharmaceutical and construction. We leverage sales activities, distribution activities and R&amp;D know-how across both segments for select applications and end markets.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Refrigerants &amp; Applied Solutions Segment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Overview of Refrigerants &amp; Applied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RAS segment is a leading manufacturer of LGWP refrigerants, blowing agents, solvents and aerosol materials, as well as a leading provider of conversion services to the nuclear energy sector. RAS serves the end markets of HVAC/R, automotive, energy, building and appliance insulation and healthcare, as well as the nuclear energy sector. Its products include LGWP refrigerants, blowing agents, aerosol propellants, cleaning solvents, high-barrier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pharmaceutical packaging materials, metered-dose inhalers and nuclear (alternative energy). Our products are distributed and sold through well-known brands such as Solstice, Genetron and Aclar.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 of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RAS operates through the following businesses: Refrigerants, Building Solutions &amp; Intermediates, Nuclear (Alternative Energy Services, or “AES”) and Healthcare Packaging.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Refrigerants</w:t>
      </w:r>
      <w:r>
        <w:rPr>
          <w:rFonts w:ascii="Times New Roman;serif" w:hAnsi="Times New Roman;serif"/>
          <w:b w:val="false"/>
          <w:color w:val="000000"/>
          <w:sz w:val="20"/>
        </w:rPr>
        <w:t xml:space="preserve">: The Refrigerants business develops and manufactures leading LGWP refrigerants for stationary and automotive applications. We serve comfort cooling as well as the refrigeration end markets. Our products are primarily sold to HVAC/R and automotive original equipment manufacturers (“OEMs”) as well as aftermarket wholesalers under our Solstice and Genetron brands. We differentiate ourselves through strong brand recognition, global channel access and a deep aftermarket partner network. We are a leading global provider of refrigerants for the automotive end market, clearly differentiated by global commercial reach, customer relationships and a strong intellectual property portfolio, further strengthened by our position in the vehicle service aftermarket business.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Building Solutions &amp; Intermediates</w:t>
      </w:r>
      <w:r>
        <w:rPr>
          <w:rFonts w:ascii="Times New Roman;serif" w:hAnsi="Times New Roman;serif"/>
          <w:b w:val="false"/>
          <w:color w:val="000000"/>
          <w:sz w:val="20"/>
        </w:rPr>
        <w:t>: The Building Solutions &amp; Intermediates business is a leading supplier of LGWP blowing agents for insulating foam and appliance insulation, as well as cleaning solvents. We mainly serve the construction end market. Our products and services are sold to a wide range of customers, from construction companies and appliance OEMs to distributors. We are recognized as a technology leader with a strong U.S. footprint, benefiting from significant commercial reach, channel access and deep customer relationships due to unique formulation processes specific to each customer.</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Nuclear (AES)</w:t>
      </w:r>
      <w:r>
        <w:rPr>
          <w:rFonts w:ascii="Times New Roman;serif" w:hAnsi="Times New Roman;serif"/>
          <w:b w:val="false"/>
          <w:color w:val="000000"/>
          <w:sz w:val="20"/>
        </w:rPr>
        <w:t xml:space="preserve">: The Nuclear (AES) business provides </w:t>
      </w:r>
      <w:r>
        <w:rPr>
          <w:rFonts w:ascii="Times New Roman;serif" w:hAnsi="Times New Roman;serif"/>
          <w:b w:val="false"/>
          <w:color w:val="000000"/>
          <w:sz w:val="20"/>
          <w:shd w:fill="FFFFFF" w:val="clear"/>
        </w:rPr>
        <w:t>uranium hexafluoride</w:t>
      </w:r>
      <w:r>
        <w:rPr>
          <w:color w:val="000000"/>
        </w:rPr>
        <w:t xml:space="preserve"> </w:t>
      </w:r>
      <w:r>
        <w:rPr>
          <w:rFonts w:ascii="Times New Roman;serif" w:hAnsi="Times New Roman;serif"/>
          <w:b w:val="false"/>
          <w:color w:val="000000"/>
          <w:sz w:val="20"/>
        </w:rPr>
        <w:t>conversion and related services to utilities operating nuclear power plants. Together with our joint venture partner General Atomics, we are the only provider of these services in the U.S.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Healthcare Packaging</w:t>
      </w:r>
      <w:r>
        <w:rPr>
          <w:rFonts w:ascii="Times New Roman;serif" w:hAnsi="Times New Roman;serif"/>
          <w:b w:val="false"/>
          <w:color w:val="000000"/>
          <w:sz w:val="20"/>
        </w:rPr>
        <w:t>: The Healthcare Packaging business is a global leader in specialty packaging materials characterized by a high moisture barrier, high clarity and lower emissions medical aerosols, leveraging our fluorinated chemistries expertise, as well as lower emissions metered-dose inhalers (MDI). We serve the medical and pharmaceutical end markets. Our products are primarily sold to medical and pharmaceutical packaging producers through our Aclar and Solstice brands. For over 50 years, we maintained our position as an industry leader for differentiated specialty medical and pharmaceutical barrier packaging.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Business and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RAS comprises Refrigerants, Building Solutions &amp; Intermediates, Nuclear (AES) and Healthcare Packaging, each of which develops, produces and sells advanced materials based on the fluorine molecular value chain, achieving high synergies across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Refrigerants business develops and manufactures LGWP refrigerants for two main end markets: stationary and automotive. The refrigerants portfolio primarily includes hydrofluoroolefins (“HFOs”), HFO blends and some hydrofluorocarbons (“HFCs”) for currently converting markets. The stationary refrigerants business is a leading manufacturer of energy-efficient, ultra-LGWP refrigerants, mainly used in HVAC/R systems for residential cooling, commercial and industrial refrigeration, supermarkets, cold storage, chillers, food processing and data centers. Additionally, our Solstice HFO refrigerants are used in heat pumps for district, residential and commercial heating applications. In food retail, our energy-efficient Solstice HFO refrigerants are used by supermarkets around the globe for low and medium temperature applications such as coolers, freezers and refrigerated displays. For industrial applications, our Solstice HFO refrigerants replace boilers as heating sources in chillers and heat pumps. Our Solstice 454B is an LGWP refrigerant, helping to minimize environmental impact through increased efficiency while lowering our customers’ redesign costs and capital expenditures. Solstice 454C outperforms carbon dioxide in normal and high ambient conditions in various applications, helping customers meet energy efficiency and sustainability goals without sacrificing system performance. For end markets converting towards LGWP refrigerants, we still offer reduced-GWP HFCs under our Genetron brand. We are well positioned to capitalize on adjacent opportunities such as data center cooling or the electrification of heating via heat pumps.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automotive refrigerants business is a leading manufacturer of LGWP refrigerants, primarily R-1234yf. LGWP refrigerants are required in nearly every new car sold in regulated markets as part of a vehicle’s air conditioning system, absorbing heat and cooling the vehicle’s interior. For automotive and transportation applications, our Solstice refrigerants are used in conventional, hybrid, electric, heavy-duty and refrigerated vehicles. In regulated markets, which are well advanced in the transition to LGWP refrigerants, we offer HFOs, as well as HFCs for the part of the market that still needs to transition. Similarly, we offer both HFOs and HFCs in developing countries, which are at an earlier stage of the transition to LGWP refrigerants.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Building Solutions &amp; Intermediates business is a key supplier in fluorine-based derivatives. We develop and manufacture LGWP blowing agents for residential and commercial structures, appliance insulation and cleaning solvents. Our Solstice LGWP blowing agents enable spray foam to provide superior insulation for residential and commercial properties while reducing energy usage. For automotive and transportation applications, our Solstice blowing agents insulate conventional, hybrid, electric, heavy-duty and refrigerated vehicles. For industrial applications, our Solstice solvents and flushing agents are used for vapor degreasing and precision cleaning.</w:t>
      </w:r>
    </w:p>
    <w:p>
      <w:pPr>
        <w:pStyle w:val="TextBody"/>
        <w:bidi w:val="0"/>
        <w:spacing w:lineRule="auto" w:line="288" w:before="0" w:after="180"/>
        <w:jc w:val="both"/>
        <w:rPr/>
      </w:pPr>
      <w:r>
        <w:rPr>
          <w:rFonts w:ascii="Times New Roman;serif" w:hAnsi="Times New Roman;serif"/>
          <w:b w:val="false"/>
          <w:color w:val="000000"/>
          <w:sz w:val="20"/>
        </w:rPr>
        <w:t xml:space="preserve">Our Nuclear (AES) business provides </w:t>
      </w:r>
      <w:r>
        <w:rPr>
          <w:rFonts w:ascii="Times New Roman;serif" w:hAnsi="Times New Roman;serif"/>
          <w:b w:val="false"/>
          <w:color w:val="000000"/>
          <w:sz w:val="20"/>
          <w:shd w:fill="FFFFFF" w:val="clear"/>
        </w:rPr>
        <w:t>uranium hexafluoride</w:t>
      </w:r>
      <w:r>
        <w:rPr>
          <w:color w:val="000000"/>
        </w:rPr>
        <w:t xml:space="preserve"> </w:t>
      </w:r>
      <w:r>
        <w:rPr>
          <w:rFonts w:ascii="Times New Roman;serif" w:hAnsi="Times New Roman;serif"/>
          <w:b w:val="false"/>
          <w:color w:val="000000"/>
          <w:sz w:val="20"/>
        </w:rPr>
        <w:t xml:space="preserve">conversion and related services to utilities operating nuclear power plants in North America, Europe and Asia. Conversion requires extensive expertise in hydrofluorination and fluorination processes, positioning us as the only U.S.-based supplier of these services. Our Nuclear (AES) business operates through ConverDyn, a joint venture with General Atomics, where we currently act as controlling partner. Solstice Advanced Materials provides </w:t>
      </w:r>
      <w:r>
        <w:rPr>
          <w:rFonts w:ascii="Times New Roman;serif" w:hAnsi="Times New Roman;serif"/>
          <w:b w:val="false"/>
          <w:color w:val="000000"/>
          <w:sz w:val="20"/>
          <w:shd w:fill="FFFFFF" w:val="clear"/>
        </w:rPr>
        <w:t>uranium hexafluoride</w:t>
      </w:r>
      <w:r>
        <w:rPr>
          <w:color w:val="000000"/>
        </w:rPr>
        <w:t xml:space="preserve"> </w:t>
      </w:r>
      <w:r>
        <w:rPr>
          <w:rFonts w:ascii="Times New Roman;serif" w:hAnsi="Times New Roman;serif"/>
          <w:b w:val="false"/>
          <w:color w:val="000000"/>
          <w:sz w:val="20"/>
        </w:rPr>
        <w:t>conversion services from its Nuclear Facility (“AES Facility”) to the Company’s ConverDyn joint venture through a decades-long supply agreement. In addition, from time to time in the ordinary course of business to the extent permitted under applicable law, ConverDyn has in the past, and may in the future, purchase additional conversion services from third parties on an ad hoc, purchase order basis on terms attractive to ConverDyn to facilitate incremental sales to ConverDyn’s customers and/or build inventory to support future sales to ConverDyn’s customers. After a temporary production halt from 2017 to mid-2023 (implemented in response to market dynamics that had been created by an approximate five-year period of excess global supply), we restarted operations in 2023 and continue investing to increase throughput and reduce downtime. The joint venture experiences strong long-term customer demand, with approximately $2.2 billion in backlog orders as of December 31, 2025, and the Company currently expects supply and demand in this area to be balanced in the long term. In addition, the current U.S. administration has recently ordered, among other actions, the Secretary of Energy to “develop a plan to expand domestic uranium conversion capacity” (Executive Order 14302, §3). Because the AES Facility is the sole domestic facility producing uranium hexafluoride gas, and continued commercial viability and expansion of production at the AES Facility is instrumental to the fulfillment of the U.S. Administration’s energy objectives, the Department of Energy has entered into an agreement with the Company pursuant to which the Department of Energy will share in certain costs in connection with the expansion of our AES Facility. While we do not believe it to be a probable scenario, if we do not meet certain timing requirements for completing projects partially funded by the Department of Energy, we may be required to pay liquidated damages. See Note 19 - Investments for more information about the Company’s ConverDyn joint venture.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Healthcare Packaging business is a global leader in high-barrier, clear polymers for thermoformed healthcare packaging applications as well as lower emissions medical aerosols, leveraging our fluorinated chemistries expertise. Our specialty films are used in medical and pharmaceutical packaging, where our protective films achieve the highest moisture barrier of any clear thermoplastic film while also lowering total packaging costs for our customers. Our ultra-high moisture barrier protects the efficacy of medicines, while the transparent material acts as a consumer-friendly film. Our Aclar and Aclar Accel high-barrier packaging materials are mainly used in blister packaging in the medicine and pharmaceutical packaging space. We see several opportunities to expand into adjacent areas demanding high barrier performance and high clarity, mainly in the healthcare and pharmaceutical space as well as in semiconductor packaging. We also provide industry leading solutions for LGWP inhalers. Pressurized metered-dose inhalers (“pMDIs”) that use HFCs contribute to the global carbon footprint of respiratory care. Solstice Air (HFO-1234ze(E) cGMP) is an alternative technology as a medical propellant, reducing the greenhouse gas emissions of pMDIs by up to 99.9% when compared to current inhaler propellants. Solstice Air is the only non-flammable, near-zero GWP propellant available and in clinical development today for pMDIs.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R&amp;D and Innovation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primarily conduct our R&amp;D in-house, leveraging national or university laboratories where applicable. The majority of our R&amp;D capabilities in the RAS segment are centralized in Buffalo, New York. We benefit from a centralized R&amp;D approach, as the products of our RAS segment are mainly based on the fluorine chemical value chain. In our Buffalo R&amp;D center, we combine all major functions to develop and innovate across the Solstice Advanced Materials product portfolio. Our discovery group researches new molecules, our applications group is responsible for further developing these molecules to fit their end application, and our analytical and properties teams provide support throughout the development process. Our pilot plants test new molecules and materials in the production process and their final application. Besides our Buffalo R&amp;D center, we have additional R&amp;D centers located throughout the world. Located within our manufacturing plants, our international RAS R&amp;D centers support local requirements such as materials testing. Furthermore, our RAS segment benefits from customer interactions during co-development processes, where we develop customer-specific solutions.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Industry, End Markets and 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Refrigerants business offers refrigerants for stationary applications to serve residential and commercial end markets, as well as industrial heating, cooling and refrigeration. Our refrigerants are used in HVAC/R systems in supermarkets, cold storage, chillers, food processing, heat pumps, data centers and comfort cooling and heating in residential and commercial buildings. Stationary markets remain among the last to convert to HFOs. The development and production of traditional HFCs is relatively commoditized among industry players. We benefit from our existing presence in the U.S. and Europe, where markets provide regulatory protection for incumbent producers. The transition toward LGWP HFOs strengthens our leadership position in LGWP refrigerants, especially in the U.S. and Europe. We expect demand for LGWP refrigerants in stationary applications to grow at rates exceeding GDP, driven by the regulatory transition from HFCs toward LGWP renewable HFOs and electrification of heating via heat pumps.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Refrigerants business also offers refrigerants for automotive end markets sold to OEMs in both regulated and developing countries. Our refrigerants are used in HVAC/R systems in automotive vehicles of all types, including conventional, hybrid, electric, heavy-duty and refrigerated vehicles. While regulated jurisdictions such as the U.S., EU, Japan and South Korea have nearly fully transitioned to LGWP refrigerants, we expect that China will drive significant adoption of R-1234yf going forward. Furthermore, electric and hybrid vehicles use up to double the amount of refrigerants compared to traditional combustion-engine vehicles, further driving growth in the market for our core products. We hold an established market position in electric vehicles sold in regulated markets, supporting our future growth opportunities.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Building Solutions &amp; Intermediates business offers LGWP blowing agents primarily used in the construction end market for building insulation, as well as appliance insulation across various industries. For LGWP blowing agents, we are recognized as a technology leader and a major supplier in the U.S. We believe the end markets for our blowing agents are generally cyclical, growing on average at GDP rates over the long term.</w:t>
      </w:r>
    </w:p>
    <w:p>
      <w:pPr>
        <w:pStyle w:val="TextBody"/>
        <w:bidi w:val="0"/>
        <w:spacing w:lineRule="auto" w:line="288" w:before="0" w:after="180"/>
        <w:jc w:val="both"/>
        <w:rPr/>
      </w:pPr>
      <w:r>
        <w:rPr>
          <w:rFonts w:ascii="Times New Roman;serif" w:hAnsi="Times New Roman;serif"/>
          <w:b w:val="false"/>
          <w:color w:val="000000"/>
          <w:sz w:val="20"/>
        </w:rPr>
        <w:t xml:space="preserve">The joint venture in our Nuclear (AES) business continues to experience a strong backlog of demand, and we maintain a leadership position due to our extensive know-how in complex conversion processes within a highly regulated market. Our multi-year sales agreements in this business provide for long-term pricing and insulate us from price volatility. We expect the relevant end market for our </w:t>
      </w:r>
      <w:r>
        <w:rPr>
          <w:rFonts w:ascii="Times New Roman;serif" w:hAnsi="Times New Roman;serif"/>
          <w:b w:val="false"/>
          <w:color w:val="000000"/>
          <w:sz w:val="20"/>
          <w:shd w:fill="FFFFFF" w:val="clear"/>
        </w:rPr>
        <w:t>uranium hexafluoride</w:t>
      </w:r>
      <w:r>
        <w:rPr>
          <w:color w:val="000000"/>
        </w:rPr>
        <w:t xml:space="preserve"> </w:t>
      </w:r>
      <w:r>
        <w:rPr>
          <w:rFonts w:ascii="Times New Roman;serif" w:hAnsi="Times New Roman;serif"/>
          <w:b w:val="false"/>
          <w:color w:val="000000"/>
          <w:sz w:val="20"/>
        </w:rPr>
        <w:t xml:space="preserve">conversion services to grow at rates consistent with GDP over the long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Healthcare Packaging business offers our Aclar and Aclar Accel high-barrier packaging materials used in medical and pharmaceutical packaging, protecting over-the-counter and prescription medications. We anticipate growing demand for high-barrier, high-clarity packaging materials driven by medication efficacy, consumer preferences for packaging transparency and a lower cost base for our customers. We expect demand for these packaging materials to outpace GDP growth. With respect to our lower emissions healthcare aerosols, we primarily sell into the metered-dose inhalers end market, which we believe will grow in line with GDP.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RAS faces competition across its products and end markets from established companies. Our main competitors for the RAS segment include Arkema, Chemours, Daikin, Orbia and not-in-kind alternatives. Depending on the product line and end market, we also experience competition from various smaller and regional players.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Sales, Distribution Channels and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RAS sales organization is specialized by geography and business unit. For each product segment, we have specialized sales representatives across the U.S., Europe, Latin America and Asia. Within each region, we have separate experts for our different businesses serving unique end markets, such as automotive, stationary, foam or pharmaceutical. For our largest and global customers, we have dedicated strategic account directors acting as key account managers.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Globally, the RAS segment serves over 700 customers. Our 10 largest customers accounted for approximately 18% of Solstice sales in 2025. No single RAS customer accounted for more than 5% of Solstice sales in 2025.</w:t>
      </w:r>
    </w:p>
    <w:p>
      <w:pPr>
        <w:pStyle w:val="TextBody"/>
        <w:bidi w:val="0"/>
        <w:spacing w:lineRule="auto" w:line="288" w:before="0" w:after="180"/>
        <w:jc w:val="both"/>
        <w:rPr/>
      </w:pPr>
      <w:r>
        <w:rPr>
          <w:rFonts w:ascii="Times New Roman;serif" w:hAnsi="Times New Roman;serif"/>
          <w:b w:val="false"/>
          <w:color w:val="000000"/>
          <w:sz w:val="20"/>
        </w:rPr>
        <w:t xml:space="preserve">The Refrigerants business sells its refrigerant products for the stationary market to HVAC/R OEMs and aftermarket wholesalers. We sell our refrigerant products for the automotive end market directly to car assembly plants of major OEMs, as well as to wholesalers and retailers in the vehicle service aftermarket business. The Building Solutions &amp; Intermediates business sells its products mainly to construction companies and appliance OEMs, distributors, as well as refineries. Our Nuclear (AES) business supplies converted </w:t>
      </w:r>
      <w:r>
        <w:rPr>
          <w:rFonts w:ascii="Times New Roman;serif" w:hAnsi="Times New Roman;serif"/>
          <w:b w:val="false"/>
          <w:color w:val="000000"/>
          <w:sz w:val="20"/>
          <w:shd w:fill="FFFFFF" w:val="clear"/>
        </w:rPr>
        <w:t>uranium hexafluoride</w:t>
      </w:r>
      <w:r>
        <w:rPr>
          <w:color w:val="000000"/>
        </w:rPr>
        <w:t xml:space="preserve"> </w:t>
      </w:r>
      <w:r>
        <w:rPr>
          <w:rFonts w:ascii="Times New Roman;serif" w:hAnsi="Times New Roman;serif"/>
          <w:b w:val="false"/>
          <w:color w:val="000000"/>
          <w:sz w:val="20"/>
        </w:rPr>
        <w:t>downstream to customers who purify the product, making it usable in energy end applications. Our Healthcare Packaging business primarily sells its high-barrier packaging materials and aerosols directly to healthcare packaging converters and manufacturers, as well as aerosol formulators.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Refrigerants and Building Solutions &amp; Intermediates businesses, we have sales contracts with OEM customers, often with durations of one to five years, paired with fixed pricing mechanisms and cost recovery clauses. In the aftermarket business, several contracts have durations of one to three years. For healthcare end markets, sales agreements can be up to 10 years or more. Certain of our sales contracts include minimum purchase obligations, providing a higher degree of revenue visibility over the coming years.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Seasonality and Cyclicality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end market exposure includes HVAC/R systems for residential, commercial and industrial heating, cooling and refrigeration, automotive vehicles, construction, energy and healthcare packaging. Among these, we experience the most cyclicality in the construction end market, while healthcare packaging is an example of a more defensive end market. Although HVAC/R system and automotive vehicle end markets tend to be more cyclical, our product sales are less tied to new system or vehicle sales. We benefit from a strong aftermarket business and the ongoing transition toward LGWP products within these end markets.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Historically, our RAS segment experiences its highest sales in the first half of the year. Our Refrigerants business experiences peak sales in the second quarter, driven by seasonal demand and inventory build-up related to warmer weather and maintenance cycles. Our Building Solutions &amp; Intermediates business typically experiences peak sales in the fourth quarter due to weather conditions and increased construction project activity. Our Healthcare Packaging business experiences peak sales mid-year, ahead of the winter season when medication consumption typically increases.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Electronic &amp; Specialty Materials Segment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Overview of Electronic &amp; Specialty Materials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ESM segment is a leading provider of electronic materials, industrial-grade fibers, and laboratory life sciences materials, as well as specialty chemicals. ESM primarily serves the semiconductor, defense, pharmaceutical and construction end markets. Its products include, among others, sputtering targets, lightweight high-strength fibers and high-purity life sciences solutions. Our products are distributed and sold through well-known brands like Spectra, Fluka and Hydranal.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 of Businesses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operates through the following businesses: Electronic Materials, Safety &amp; Defense Solutions and Research &amp; Performance Chemicals.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Electronic Materials</w:t>
      </w:r>
      <w:r>
        <w:rPr>
          <w:rFonts w:ascii="Times New Roman;serif" w:hAnsi="Times New Roman;serif"/>
          <w:b w:val="false"/>
          <w:color w:val="000000"/>
          <w:sz w:val="20"/>
        </w:rPr>
        <w:t xml:space="preserve">: The Electronic Materials business specializes in sputtering targets, electronic polymers, thermal solutions and high-purity etchants and wash solvents used in semiconductor manufacturing. We are a leader in providing components for cutting-edge semiconductor technologies. Our core products for front-end semiconductors include copper manganese and titanium sputtering targets, which utilize a unique extrusion process enabling greater precision in grain structure and extended product lifetime, as well as our hydrogen fluoride (“HF”) etchants, wash solvents and industry-leading electronic polymers and phase change materials. This business serves the leading-edge fabricators in the semiconductor industry due to their precision and reliability. Our copper manganese targets and electronic polymers are positioned to meet emerging demands in advanced packaging and advanced display segments, while our industry-leading phase change materials are well suited for demanding applications such as cooling graphics processing units (“GPUs”) and electric vehicle battery inverters. The Electronic Materials business is well-positioned to benefit from artificial intelligence (“AI”) related tailwinds and the increasing demand for advanced, lower-nanometer chips.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Safety &amp; Defense Solutions</w:t>
      </w:r>
      <w:r>
        <w:rPr>
          <w:rFonts w:ascii="Times New Roman;serif" w:hAnsi="Times New Roman;serif"/>
          <w:b w:val="false"/>
          <w:color w:val="000000"/>
          <w:sz w:val="20"/>
        </w:rPr>
        <w:t>: Our primary product offering within the Safety &amp; Defense Solutions business is ultra-high molecular weight polyethylene (“UHMWPE”) materials, which are specialty fibers primarily used for armor, as well as medical and industrial applications. Our products are primarily sold to manufacturers of end products such as military and safety armor through our Spectra brand. We maintain a leading position across these applications because Spectra fibers have lighter weight than competing products and offer best-in-class levels of performance.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Research &amp; Performance Chemicals</w:t>
      </w:r>
      <w:r>
        <w:rPr>
          <w:rFonts w:ascii="Times New Roman;serif" w:hAnsi="Times New Roman;serif"/>
          <w:b w:val="false"/>
          <w:color w:val="000000"/>
          <w:sz w:val="20"/>
        </w:rPr>
        <w:t>: The Research &amp; Performance Chemicals business includes research chemicals, fine chemicals and specialty additives. Within research chemicals, under the Fluka brand, we are a leading supplier of reagents for DNA and RNA assays, Karl Fischer titration reagents under the Hydranal brand—which is one of the industry’s most trusted brands in Karl Fischer titration due to its quality, consistency and innovation—and solvents for chromatographic and spectroscopic applications through our Burdick &amp; Jackson, Riedel-de Haën and Chromasolv brands. The fine chemicals business provides a comprehensive range of high-purity inorganic halides, phosphorus derivatives, sulfur derivatives, oxides and various other inorganic compounds to serve diverse markets such as metal surface treatment, electroplating, oral care, personal care, healthcare, nutrition, sealants, adhesives, catalysts and energy. We are a trusted provider due to our high-quality and reliable formulations. Our high-purity chemicals business is a key producer in Europe. Within specialty additives, we offer plastic and wax blends for various end uses, maintaining a leading position in PVC, coatings and asphalt segments.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Business and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ESM is comprised of Electronic Materials, Safety &amp; Defense Solutions and Research &amp; Performance Chemicals. Due to the highly differentiated nature of each of our businesses within the ESM segment, we operate each ESM segment business according to its unique needs, leveraging common platforms and functions where applicable. We employ best-in-class tools and systems to support the mechanical integrity of our complex manufacturing sites and processes.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Electronic Materials business offers high-quality sputtering targets, electronic polymers, thermal solutions, high-purity etchants and wash solvents for use in front-end and back-end semiconductor manufacturing. We are a leading manufacturer of sputtering targets, particularly copper manganese targets, for which we developed a unique extrusion process allowing high control over grain structure. Our Electronic Materials business also offers electronic polymers, used in front-end semiconductors, and thermal solutions such as integrated heat spreaders and thermal interface materials. Our electronic polymers are well suited for advanced semiconductor manufacturing needs such as planarization, gap-fill, hard mask and doping. Our high-performance thermal solutions, especially phase change materials, benefit from growth associated with battery inverters used in electric vehicles and GPU cooling in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centers. We also provide high-purity electronic wet chemicals such as etchants and blends, solvents and wafer-thinning materials.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Safety &amp; Defense Solutions business offers specialty fibers made from UHMWPE materials, sold under our Spectra brand. Our fibers are used in military, law enforcement, industrial, commercial and life sciences applications. Spectra fiber offers superior performance relative to our competitors and significantly lighter weight than steel, making it a preferred choice in applications such as industrial ropes and fishing lines. Spectra fibers are sold directly to manufacturers of end products such as armor, rope, fishing lines and medical devices. We are a global leader in high-end, lightweight armor technology, maintaining strong governmental relationships through which we continually develop and refine our fiber technologies. As we continue to innovate and leverage our R&amp;D capabilities, we see opportunities for further growth with even more advanced fibers.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&amp; Performance Chemicals business primarily offers high-purity chemicals and research chemicals, in addition to specialty waxes and additives. We produce and refine various chemicals, including HF, inorganic compounds, organic compounds and fluorine salts. Our research chemicals business provides high-purity chemicals, such as solvents and Hydranal titration reagents, used in laboratory applications. Our solutions support battery systems transitioning to dry manufacturing processes. Within Research &amp; Performance Chemicals, we acquire, process and resell materials to customers and are developing new chemical recycling solutions to help reduce waste.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R&amp;D and Innovation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R&amp;D capabilities of our ESM segment are primarily located within the manufacturing plants of their respective businesses and product lines. We conduct R&amp;D primarily in-house, leveraging national or university laboratories where applicable, and tailor our approach specifically to each business. The co-location of R&amp;D teams and production plants accelerates our innovation speed and ensures we remain highly attuned to our customers’ needs. We combine our R&amp;D centers within manufacturing plants with pilot plants to test new solutions, applications and materials during the production process and their final applications. Additionally, our ESM segment benefits from customer interactions in co-development processes, where we develop customer-specific solutions and applications.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Industry, End Markets and 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three distinct business lines within ESM, we serve highly attractive end markets with opportunities for further growth and product innovation, particularly in the semiconductor, life sciences and defense end markets.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forecasted to grow significantly above GDP rates, with leading-edge semiconductors expected to grow even faster. As a leading supplier of copper manganese and ultra high purity titanium sputtering targets, we work directly with leading-edge semiconductor fabricators. We are among the highest-reliability producers of sputtering targets and maintain strong capabilities in copper manganese and titanium targets, supplying high-performance products for top semiconductor companies’ manufacturing processes. Additionally, the convergence of front-end fabrication and back-end advanced packaging technologies is driving further demand for high-purity metals, polymers, etchants and solvents, creating additional tailwinds for our Electronic Materials business. We also collaborate with leading semiconductor manufacturers and OEMs to provide premium thermal solutions, building on our current portfolio of heat spreaders and thermal interface materials. In our thermal solutions offering, we expect significant growth due to increasing needs for efficient heat transfer in electric vehicle batteries and GPU data center cooling.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Safety &amp; Defense Solutions business competes across diverse end markets, including defense, life sciences and commercial applications. Given that Spectra fibers are primarily used in military and law enforcement applications, this business’s growth is closely tied to global defense spending, which we expect to continue to increase. When demand in military spending weakens, we usually see demand for law enforcement equipment pick up, benefiting from our exposure to both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Research &amp; Performance Chemicals business serves a wide range of end markets, including pharmaceuticals, oil and gas, chemicals, authentication, automotive, oral care and construction. Our research chemicals business is a leading supplier of high-purity chemicals to the pharmaceutical market. Our specialty additives business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benefits from high-growth battery system applications, as we currently support battery manufacturers in transitioning to dry-process manufacturing.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ESM faces competition across its products and end markets from established companies. Due to our large, specialized product offering across various end markets, our ESM segment faces a wide variety of competitors, different for each of our major product lines.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Sales, Distribution Channels and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ESM sales team is organized by business. Our sales team works closely with our marketing organization, which specifically supports areas such as sales excellence and operations, sales analytics, and technology and digital tools to improve customer experience, channel access and pricing dynamics.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Globally, the ESM segment serves over 2,400 customers. Our 10 largest customers accounted for approximately 10% of Solstice sales in 2025. No single ESM customer accounted for more than 5% of Solstice sales in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distribute our products directly to other manufacturers within the value chain, who then deliver final products to end customers. We maintain longstanding relationships with leading semiconductor and technology players in our Electronic Materials business. Within our Safety &amp; Defense Solutions business, we sell Spectra fibers to armor manufacturers. We maintain a strong relationship with the U.S. government as an end user, as it establishes quality standards for armor technology products. Our Research &amp; Performance Chemicals business sells directly to semiconductor, battery and pharmaceutical manufacturers, as well as research labs and consumer brands. We maintain close relationships with our direct manufacturer customers through collaboration between our product development teams, alignment of our R&amp;D pipeline with customers’ technology roadmaps, trade shows and recurring touchpoints with customers’ top-level management.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Seasonality and Cyclicality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ESM portfolio experiences a moderate degree of cyclicality, primarily due to exposure to inherently cyclical end markets such as semiconductors and construction. These industries are sensitive to economic fluctuations, with our Electronic Materials business tied to semiconductor fabrication cycles and our Research &amp; Performance Chemicals business influenced by trends in building and infrastructure investments, life sciences and pharmaceutical innovation cycles. While seasonality has limited impact on our operations, prolonged periods of reduced investment or demand—such as downturns in semiconductor fabrication spending or construction activity—could adversely affect our performance. Currently, we benefit from increases in semiconductor investments, driven by the rapid advancement of AI. Additionally, our Electronic Materials business benefits from the rapid growth in data centers, which are expected to have lower cyclicality compared to traditional semiconductor manufacturing due to anticipated sustained demand for advanced technology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Raw Materials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supply chains are designed for maximum competitiveness through advantaged sourcing of key raw materials. Starting with our sourcing agreements, we utilize a mixture of fixed and market-based pricing and engage in long-term supply contracts to ensure reliable raw material availability. The majority of our raw material supply is under contract. We benefit from both a strong global presence and local relationships to maximize our sourcing efforts. Our sourcing teams collaborate closely with supply chain and production leadership to develop strategies that secure adequate raw material supplies. We had adequate supplies of raw materials in 2025 and anticipate continued adequate supplies in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raw materials include chlor-alkali based materials, ethylene, polyethylene, wet Spar and copper. We source raw materials from global and regional suppliers and where possible maintain multiple supplier relationships to protect against supply disruptions and potential price increases, including as a result of the impact of the imposition of tariffs or other trade actions impacting raw materials we source from global trade counterparties. To further mitigate the risk of raw material unavailability and cost fluctuations, we introduced raw material substitutions where feasible. Additionally, we secured long-term contracts with key suppliers and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 contracts that include raw material price pass-through terms. We do not believe the loss of any particular supplier would materially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Item 1A. “Risk Factors” for additional information on supply chain constraints.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Manufacturing and Processing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core principles are to manufacture in proximity to our customers to provide high supply chain security, protect against geopolitical uncertainty, maintain a lean and efficient manufacturing setup to optimize cost structure, and leverage our common global manufacturing and R&amp;D platforms.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manufacturing organization is structured to effectively serve all global markets in which we operate. Most manufacturing sites specialize in one or two product lines within their respective segments, allowing them to develop strong manufacturing know-how and support our industry-leading positions. We emphasize strong collaboration between our manufacturing sites and IT teams to implement state-of-the-art planning and scheduling systems, predictive maintenance programs and future integration with Solstice operating model initiatives to enhance throughput, quality, and production safety, as well as to decrease manufacturing downtimes.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leverage production capabilities, inventory management and logistics across the RAS and ESM segments where applicable. We consolidate our processes and logistics for finished goods across both segments, leveraging domestic and global logistics through distribution centers.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significantly invested in health, safety and environment initiatives over the past three years and have instilled safety as a core value by elevating our safety culture throughout the organization. We have improved our safety culture by implementing new safety committees, focusing on behavior based safety (BBS), creating job safety analysis (JSA)/hazard recognition improvement strategies, and developing tools, processes and reporting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Intellectual property—including patents, trademarks and unpatented proprietary technology (including trade secrets and know-how)—is critical to maintaining our technology leadership and competitive edge. Our business strategy generally involves filing patent applications globally for proprietary new products, applications and manufacturing technology unless we determine to protect such products and technology (or portions of such products and technology) through trade secrets rather than patents, taking into consideration the nature of the products and technologies at issue, as well as the nature of the protections afforded by patents and trade secrets in applicable jurisdictions. We actively work on a global basis to create, defend and enforce our intellectual property rights. The protection afforded by patents and trademarks varies by country, scope of an individual patent and trademark, and availability of legal remedies in each country. Although certain proprietary intellectual property rights are important to our company’s success, we do not believe that we are materially dependent on any particular patent or trademark. Securing our intellectual property is critical to maintaining our technology leadership and competitive position, especially with respect to new technologies or extensions of existing technologies. As of December 31, 2025, we owned over 5,700 issued patents and pending patent applications worldwide to protect our R&amp;D investments in new products and technology, and we have access to certain other patent portfolios through various strategic relationships. Unpatented proprietary technology (including trade secrets and know-how) is an important part of our intellectual property portfolio, and various aspects of our products and manufacturing processes are kept as trade secrets, which from time to time may be licensed to third parties in connection with our business operations. We seek to protect our trade secrets and other confidential and proprietary information through comprehensive internal and external controls, including policies, procedures, contractual protections including confidentiality agreements with our employees and third parties and we employ an intellectual property protection manager for certain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RAS segment is an innovation leader in the markets in which it participates. With over 4,000 issued patents and pending patent applications globally, we have one of the largest patent portfolios in these markets. Additionally, the business benefits from various third-party patent portfolios to which it has access through various strategic relationships. With respect to R-1234yf, while certain patents relating to applications of the technology have expired or are near expiration, we own certain composition patents covering the molecule with expiration dates ranging into the 2030s and patents covering other aspects of our Solstice refrigerants portfolio, including refrigerant blends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containing R-1234yf and methods of making R-1234yf, with varying expiration dates at least into the mid-2030s. Given the experience obtained from the number of manufacturing plants that we built ourselves or in partnership with others, we have a significant amount of unpatented technology in the form of know-how and trade secrets, which we believe provides the business with a competitive advantage. We consider various trademarks such as Solstice, Enovate, Genetron and Aclar to be valuable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ESM segment is a technology and innovation leader in the majority of the markets in which it participates. Because some foundational patents have expired, our ESM segment relies upon proprietary knowledge, continuing technological innovation and trade secrets to develop and maintain our competitive position in this sector. Nevertheless, within this segment, we hold significant intellectual property in the form of trade secrets and patents, and, while we believe that no single patent or trade secret is material in relation to our combined business as a whole, we believe that our patents and trade secrets are material in the aggregate. Our proprietary gel-spinning process to manufacture Spectra fiber and our proprietary extrusion process to manufacture sputtering targets are important parts of our technology, and our business could be harmed if our trade secrets are not maintained in confidence. Within our ESM segment’s intellectual property portfolio, we consider our Spectra, Gold Shield, Fluka and A-C trademarks to be valuable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certain strategic collaborations and cross-licenses with third parties. For example, the RAS segment partners with others to solve time-critical, high-value and often high-risk customer problems. Agreements governing these cooperations may provide each party with access to relevant intellectual property of the other to enable each party to commercialize the developed 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Trademarks and Copyrights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own or have rights to various trademarks, logos, service marks and trade names that we use in connection with the operation of the business (including certain trademarks, logos and trade names, which are used under license from Honeywell). We also own or have the rights to copyrights that protect the content of our products. Solely for convenience, certain of our trademarks, service marks, trade names and copyrights referred to in this Annual Report on Form 10-K are listed without the ™, ® or © symbols, but such references do not constitute a waiver of any rights that might be associated with the respective trademarks, service marks, trade names and copyrights included or referred to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Regulatory and Environmental Compliance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Solstice Advanced Materials operates in a constantly evolving regulatory environment, and we are subject to numerous and increasingly complex federal, state, local and foreign legal and regulatory requirements for our operations and products. It is our practice to identify potential regulatory risks early in the R&amp;D process and manage them proactively throughout the product lifecycle through routine assessments, protocols, standards, performance measures and audits. Governing bodies regularly issue new regulations or amend existing ones. We have implemented global systems and procedures designed to ensure compliance with existing laws and regulations.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work collaboratively with a number of stakeholder groups, including government agencies, trade associations and non-governmental organizations, to proactively engage in federal, state and international public policy processes ranging from climate change to chemical management. We also have ongoing interactions with our suppliers, carriers, distributors and customers to achieve similar product stewardship.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Item 1A. “Risk Factors” and Note 20 - Commitments and Contingencies of the Notes to the Consolidated Financial Statements for additional information on government regulation and environmental matters that could impact our business and current regulatory commitments and legal proceedings,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4,100 employees, over 300 of whom are technologists and engineers in our R&amp;D operations. Nearly all of our European employees and approximately 16% of our U.S. employees are part of a union or works council. We believe that our relations with our employees, unions and works councils have generally been and continue to be very good.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invest significantly in our employees through multiple programs designed to attract and retain talent and support employee productivity. For example, we established the Early Career Engineer Rotational Program (“ECERP”), which helps us attract and retain early-career engineering talent. ECERP allows engineering graduates and final-year college students to experience diverse roles across divisions and manufacturing sites within our business units. This program helps our early-career talent identify the right teams for them and helps the Company build talent from within. Programs such as ECERP remain key to the Company’s success in recruiting the right talent. We also leverage technology platforms to boost employee productivity. These platforms provide mechanical integrity for our complex manufacturing sites and processes, sales pipeline management, analytical pricing software and data warehousing, all being integrated into one consolidated ERP system. Technological advancements allow us to benefit from increased employee output and satisfaction through tracking tools, collaboration opportunities, best-practice blueprints, sales training materials, customer support platforms and more.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Continuous investment by Solstice Advanced Materials in our employees has yielded strong results, including an annually improving voluntary attrition ratio. We actively manage turnover risk using proprietary technology and ongoing employee interactions. Our internal employee engagement surveys achieve over 90% participation rates, and we have experienced improved employee satisfaction results over the last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Industry and Market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information contained in this Annual Report on Form 10-K concerning our industry and the markets in which we operate, including our general expectations and market position, market opportunity and market share, is based on information from third-party sources, our own analysis of data received from these third-party sources, our own internal data, commissioned market research and management estimates. We derive management estimates from publicly available information, our knowledge of our industry and assumptions based on such information and knowledge, which we believe to be reasonable. Assumptions and estimates of our and our industry’s future performance are subject to a high degree of uncertainty and risk due to a variety of factors, including those described under Item 1A. “Risk Factors” of this Annual Report on Form 10-K. These and other factors could cause future performance to differ materially from our assumptions and estimates. For additional information, see Item 1A. “Risk Factors” and “Cautionary Statement Concerning Forward-Looking Statements”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under the Securities Exchange Act of 1934 (the “Exchange Act”). Consequently, we are required to file reports and information with the U.S. Securities and Exchange Commission (“SEC”), including reports on the following forms: Annual Reports on Form 10-K, Quarterly Reports on Form 10-Q, Current Reports on Form 8-K, and amendments to those reports filed or furnished pursuant to Section 13(a) or 15(d) of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Annual Reports on Form 10-K, Quarterly Reports on Form 10-Q, Current Reports on Form 8-K, and amendments to those reports are also accessible on our website at www.investor.solstice.com by clicking on the section labeled “Financials” and then on “SEC Filings.” These reports are made available, without charge, as soon as it is reasonably practicable after we file or furnish them electronically with the SEC at www.sec.gov. Information contained on or accessible through, including any reports available on, our website is not a part of, and is not incorporated by reference into, this Annual Report on Form 10-K or any other report or document we file with the SEC. Any reference to our website in this Annual Report on Form 10-K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Summary of Risk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Below is a summary of the principal factors that make an investment in our common stock risky, including risks relating to our business and operations, the Spin-off and our ongoing relationship with Honeywell, and our common stock and the securities market. This summary does not address all of the risks that we face. Please review the more detailed discussion in this Annual Report on Form 10-K before making an investment decision.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limited operating history as an independent, publicly traded company, and our historical consolidated financial information may not predict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innovate or adapt to new technologies could adversely affect our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Exposure to risks associated with volatile global economic environment and geopolitical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raw material prices, inflation, supply chain disruptions or supplier performance may increase costs or impact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Increasingly complex and changing government regulations may require additional costs or product changes.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Climate change and related regulations or shifts in customer demand could negatively affect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Negative public or political perceptions of nuclear energy and radioactive materials could adversely affect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international operations expose us to foreign exchange, regulatory, and political risks.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Tariffs or trade restrictions could negatively affect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outstanding indebtedness could adversely affect our business and financial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not be able to obtain additional capital that we need in the future on favorable terms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Intense competition may result in pricing pressure, reduced margins, or loss of market share.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Seasonal and cyclical market conditions may cause variability in financial results and liquidity.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Concentrations of credit, counterparty, and market risk may adversely affect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successfully execute or effectively integrate acquisitions or complete potential divestitures.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face risks associated with our joint ventures and strategic co-development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Inability to attract or retain qualified personnel could adversely affect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of exposure to material environmental liabilities from current or predecessor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Hazards inherent in chemical manufacturing may result in accidents, losses, or reputational harm.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decommissioning and remediation expenses may arise if we shut down manufacturing or other sites.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Uncertainty regarding outcomes of litigation, government proceedings and other contingencies.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Cybersecurity attacks or data privacy or information security breaches could materially impact our business and reputation.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Material disruptions to operations, including at manufacturing facilities or in IT infrastructure, could affect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stakeholder focus on sustainability and related disclosures may impact our business and reputation.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protect or enforce intellectual property or infringement claims could negatively affect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tax law, regulation or jurisdictional mix of earnings could adversely affect our tax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be required to make significant cash contributions to the defined benefit pension plans that we sponsor.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proper and effective internal controls could impair financial reporting and harm our stock price and access to capital.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Spin-off could result in significant tax liability to Honeywell and its shareowners, and we may be required to indemnify Honeywell for certain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are restricted from certain actions to preserve the intended tax-free treatment of the Spin-off, which may limit our flexibility.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be unable to achieve some or all of the benefits that we expect to achieve from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may not be able to make necessary changes to operate independently and may incur increased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business conflicts of interest with Honeywell may arise.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of our directors and employees may have conflicts of interest because of their financial interests in Honeywell.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Transitioning IT infrastructure post-Spin-off may result in additional costs or business interruptions.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Restrictions under the Intellectual Property Cross-License Agreement may limit our ability to develop or commercialize certain products or enforce certain intellectual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assumed and agreed to indemnify Honeywell for certain liabilities, which could negatively impact our financial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Spin-off and related transactions may expose us to potential liabilities under fraudulent conveyance laws and dividend requirements.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Common Stock and the Securities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stock price may fluctuate significantly.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Future dividends are not guaranteed and may be limited by our indebtedness.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percentage ownership in the Company may be diluted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provisions in our governing documents and Delaware law may discourage takeovers.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Exclusive forum provisions may limit your ability to bring certain legal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all of the information in this Annual Report on Form 10-K and each of the risks described below, which we believe are the material risks that we face. Any of the following risks, as well as other risks not currently known to us or that we currently consider immaterial, could materially and adversely affect our business, financial condition, results of operations and cash flows and the actual outcome of matters as to which forward-looking statements are made in this Annual Report on Form 10-K. All forward-looking statements made by us are qualified by the risks described below. Disclosures of risks should not be interpreted to imply that the risks have not already materialized. The following risk factors should not be considered to represent a complete set of all potential risks that could affect us.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Business and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limited operating history as an independent, publicly traded company, and our historical consolidated financial information is not necessarily representative of the results we would have achieved as an independent, publicly traded company and may not be a reliable indicator of our future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derived our historical consolidated financial information from Honeywell’s consolidated financial statements, and this information does not necessarily reflect the results of operations and financial position we would have achieved as an independent, publicly traded company during the periods presented or those that we will achieve in the future. This is primarily because of the following factors:</w:t>
      </w:r>
    </w:p>
    <w:p>
      <w:pPr>
        <w:pStyle w:val="TextBody"/>
        <w:bidi w:val="0"/>
        <w:spacing w:before="0" w:after="0"/>
        <w:ind w:left="0" w:right="0" w:hanging="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the Spin-off, we operated as part of Honeywell’s broader corporate organization, and Honeywell performed various corporate functions for us. Our historical consolidated financial information reflects allocations of corporate expenses from Honeywell for these and similar functions. These allocations may not reflect the costs we have begun, and will continue, to incur for similar services in the future as an independent publicly traded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entered into agreements governing transactions with Honeywell that did not exist prior to the Spin-off, such as Honeywell’s provision of transition and other services and brand licensing agreements, and have undertaken indemnification obligations, which have resulted in, and will cause us to incur, new costs. In connection with the Spin-off, we entered into certain agreements with Honeywell which provide for the performance by each company of various obligations for the benefit of the other for a period of time after the Spin-off. These agreements include a Separation and Distribution Agreement (the “Separation Agreement”), a Transition Services Agreement, a Tax Matters Agreement, an Employee Matters Agreement, an Intellectual Property Cross-License Agreement, a Trademark License Agreement and an Accelerator License Agreement. If Honeywell is unable to satisfy its obligations under these agreements, including its indemnification obligations, our Company could incur operational difficulties or losses. If we do not have in place our own systems and services, and do not have agreements with other providers of these services when the transitional or other agreements terminate, or if we do not implement the new systems or replace Honeywell’s services successfully, we may not be able to operate our business effectively, which could disrupt our business and have an adverse effect on our business, financial condition and results of operations. These systems and services may also be more expensive to install, implement and operate, or less efficient than the systems and services Honeywell is expected to provide during the transition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portion of our historical consolidated financial information in respect of time periods prior to the Spin-off does not reflect changes that have occurred as a result of our Spin-off from Honeywell, including changes in the financing, cash management, operations, cost structure and personnel needs of our business. As part of Honeywell, we enjoyed certain benefits from Honeywell’s operating diversity, size, brand, reputation, purchasing power, borrowing leverage and available capital for investments, and we no longer have access to these benefits after the Spin-off. As an independent entity, we may be unable to purchase goods, services and technologies, such as insurance and health care benefits and computer software licenses, or access capital markets on terms as favorable to us as those we obtained as part of Honeywell prior to the Spin-off, and our business, financial condition, results of operations and cash flows may be adversely affected. In addition,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historical consolidated financial data does not include an allocation of interest expense comparable to the interest expense we have incurred or will incur following the Spin-off, including interest expense in connection with the incurrence of indebtedness at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a portion of our business historically operated as a specialty materials company prior to its consolidation with Honeywell, our current business has limited operating history as an independent, publicly traded company outside the broader Honeywell operating environment. In addition, uncertainty related to our operations following the Spin-off may lead customers and other parties with which we currently do business or may do business in the future to terminate or attempt to negotiate changes in our existing business relationships, or cause them to consider entering into business relationships with parties other than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face operational inefficiencies as we make changes to our operations to enable us to operate our business independently following the Spin-off. We also face additional costs and demands on management’s time associated with being an independent, publicly traded company, including costs and demands related to corporate governance, investor and public relations and public reporting. In addition, while we were profitable as part of Honeywell, we cannot assure you that our profits will continue at a similar level as we operate as an independent, publicly traded company. For additional information about our past financial performance and the basis of presentation of our Consolidated Financial Statements, see Item 7. “Management’s Discussion and Analysis of Financial Condition and Results of Operations” and our historical audited Consolidated Financial Statements, and the Notes thereto, included elsewhere in this Annual Report on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are unable to innovate and successfully introduce new products, or new technologies or processes reduce the demand for our products or the price at which we can sell products, our profitability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industries and the end-use markets into which we sell our products experience periodic technological changes and product improvements, as well as changes in mandates on or regulation of products and services. For example, certain end markets of our Refrigerants business are in the process of transitioning to regulatory-compliant next-generation LGWP refrigerants and may in the future be impacted by regulations of fluorinated chemistries. Our future growth will depend on our ability to gauge the direction of commercial and technological progress and regulatory change in key end markets, our ability to fund and successfully develop, manufacture and market products in such changing end markets, and our ability to adapt to changing needs and market trends accurately. However, we may be unable to develop new products or technologies, either alone or with third parties, or license intellectual property rights from third parties on a commercially competitive basis. If we fail to keep pace with the evolving technological innovations in our end markets on a competitive basis, including with respect to innovation related to the development of alternative uses for, or application of, products developed that utilize such end-use products, our business, financial condition, results of operations and cash flows could be adversely affected. We also cannot predict whether technological innovations will, in the future, result in a lower demand for our products or affect the competitiveness of our business. We may be required to invest significant resources to adapt to changing technologies, markets, customer behaviors and demands, competitive environments, and laws, regulations or enforcements. We cannot anticipate market acceptance of new products or future products. In addition, we may not achieve the expected benefits associated with new products developed to meet new laws, regulations or enforcements if the implementation of such laws, regulations or enforcements is delayed, and we may face competition from illegal or counterfeit products in regulated markets.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business is exposed to risks associated with the volatile global economic environment and geopolitical conditions.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Adverse changes in economic or geopolitical conditions, particularly in locations where our customers, suppliers, or operations are located, as well as concerns about a range of other external factors, including global trade and global supply chain, developments in energy prices, inflation, interest rates, changes in government monetary or fiscal policies, import or export restrictions, tariffs and other trade barriers and restrictions, political instability or social unrest, labor market challenges, currency exchange rate volatility and a potential economic downturn or recession, could have a material adverse effect on our business, results of operations, cash flows, and financial condition and may adversely impact our ability to provide products and services in a timely manner, or at all, and the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products and services. High inflation and interest rates increase our cost of capital and could reduce the number of customers who purchase our products and services as credit becomes more expensive or less available. The consequences of geopolitical conflicts, and the confrontation, escalation, or resolution thereof, including the war in Ukraine, conflict in the Middle East, which have resulted in sanctions and other measures imposed by the EU, the U.S., and other countries in response, and possible conflicts that could emerge in other geopolitically sensitive areas, such as the Greater China region, have also caused and may continue to cause disruption and instability in global markets, supply chains and industries that could negatively impact our businesses, results of operations, cash flows, financial condition, and pose reputational risks. In addition, our customers and suppliers could be affected directly by an economic downturn or recession and some could face credit issues or cash flow problems that could give rise to payment delays, increased credit risk, bankruptcies, and other financial hardships, which could adversely impact customer demand for our products as well as our ability to manage normal commercial relationships with our customers and suppliers. Depending on their severity and duration, the effects and consequences of global economic and political conditions could have an adverse impact on our results of operations, cash flows,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Raw material price fluctuations, inflation, scarcity, the ability of key suppliers to meet quality and delivery requirements or catastrophic events can increase the cost of our products and services, impact our ability to meet commitments to customers and cause us to incur significant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raw materials is a key element in the cost of our products. As of December 31, 2025, the majority of our raw material supply was under contract. While we have implemented mitigation strategies designed to reduce the impact of supply chain disruptions, any inability to source necessary materials when and as needed, or to offset material price or labor inflation through increased prices to customers, market-based or long-term fixed price contracts with suppliers, productivity actions or commodity hedges could adversely affect our results of operations, including our ability to meet our production schedules and project deadlines in a timely and efficient manner.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global sourcing teams collaborate closely with supply chain and production leadership to develop strategies that secure adequate raw material supplies,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the scarcity of certain raw materials, including wet Spar, and/or current or future global economic uncertainty, including inflation and high interest rates, the impact of trade actions (including the imposition of tariffs or other trade actions impacting raw materials we source from global trade counterparties), supply chain and labor disruptions, unemployment rates, banking instability, any U.S. government shutdown, any downgrades in the U.S. government’s sovereign credit rating, public health crises, volatile financial markets, geopolitical instability and regional conflicts, social unrest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construction or other capital projects at our facilities have in the past resulted and could in the future result in manufacturing delays or increased costs, and our businesses, financial condition, results of operations and cash flows have in the past been and could in the future be adversely impacted by the inability to complete such projects within anticipated time frames or within our cost estimates or if such projects do not result in the anticipated benefits. Further, short-term or sustained increases in demand for our products or services could exceed our manufacturing or service capacity or otherwise strain our supply chain, resulting in our inability to meet demand for our products and services and adverse impacts to our business and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an effort to reduce the impact of current and future supply chain disruptions, we have implemented short-term and long-term strategies to reduce the impact of such disruptions, including pricing actions, longer-term planning for constrained materials, material supply tracking tools, direct engagement with key suppliers to meet customer demand and development of new or redesigned products that satisfy our product quality controls and engineering qualifications and/or any applicable regulatory requirements. We cannot provide any assurance that our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strategies will continue to be successful, or that we will be able to alter our strategies or develop new strategies if and as needed.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Our products and operations are subject to numerous and increasingly complex government regulations, which may be subject to change, and compliance with these regulations could require us to incur additional costs or to reformulate or discontinue certain of our products and could have a significant impact on our business, financial condition,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significantly influenced by the regulatory and legislative environment in which we operate. Our products, technologies and services are subject to numerous and increasingly complex, federal, state, local and foreign laws and regulations. This legal framework includes customs regulations, import and international trade laws, export controls, antitrust laws, environmental and chemical manufacturing, regulations and treaties related to security and controlled materials, global climate change, health and safety requirements, zoning and occupancy laws and regulatory record-keeping and reporting obligations; all of which impact the manufacture, import, export, promotion and sale of our products, the operation of our production and distribution facilities, and our relationships with our customers, suppliers, employees and competitors.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products and manufacturing processes are also subject to numerous ongoing reviews by certain governmental authorities. Governmental, regulatory and societal demands for increasing levels of product safety (such as chemical composition, packaging and labeling) and environmental protection (such as the management, movement and disposal of hazardous substances and increased societal demand for regulation to reduce greenhouse gas (“GHG”) emissions or otherwise restrict the use of manufacture and use of hazardous substances) are resulting in increased pressure for more stringent regulatory control with respect to the chemical industry. Such regulations include (or may in the future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U.S.-based regulations, such as the Comprehensive Environmental Response, Compensation, and Liability Act (CERCLA), the RCRA and similar state and global laws for management and remediation of hazardous materials, the Clean Air Act and Clean Water Act and similar state and global laws for the protection of air and water resources, the Toxic Substances Control Act (TSCA) and the American Innovation in Manufacturing Act of 2020, which requires the phase down of certain HFCs by 85% from historic baseline levels by 2036;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foreign chemical control regulations, such as the EU’s REACH (Registration, Evaluation, Authorization and Restriction of Chemicals), the EU F-Gas Regulation and similar regimes that have now been adopted in several other countries, the Chemical Substances Control Law in Japan, MEP Order No. 12 in China and the Toxic Chemical Substance Control Act in Taiwan for the production and distribution of chemicals in commerce and reporting of potential adverse effects;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emerging sustainability regulations in the EU and globally, including, but not limited to, the Corporate Sustainability Reporting Directive, its transposition in EU countries, and the EU Taxonomy for sustainability targeted activities;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numerous other local, state, federal and foreign laws, regulations and enforcements governing materials movement, packaging, labeling and disposal, including bans and moratoria on certain substances and chemicals;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potential future regulations related to fluorinated chemistries or other industries in which we operate, or the strengthening of existing regulations applicable to us, such as the REACH Recast, a large-scale revision of the current REACH regulation that will, among other things, expand the in-scope hazardous substances subject to REACH and strengthen enforcement and auditing processes.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all of these regulations and adaptation to changes in our regulatory environment, particularly in, but not limited to, the U.S., the EU and the Greater China region, has in the past required, and may in the future require, us to incur significant costs and capital expenditures, including to maintain comprehensive data management systems, and could lead us to redesign our products or supply chain to ensure compliance with the applicable standards or use different types or sources of materials, which could have an adverse impact on the efficiency of our manufacturing process, the performance of our products, add greater testing lead-times for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introductions or other similar effects. From time to time, we may face challenges related to regulatory compliance, especially in an ever-changing regulatory landscape, and may be subject to regulatory penalties and other government proceedings, which could have a material adverse effect on our business and financial condition. Any of these changes or challenges could materially alter our market share and reputation, or otherwise have a material adverse effect on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Global climate change and related regulations and changes in customer demand could negatively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R&amp;D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 Moreover, policy initiatives or regulatory changes deemphasizing goals for reducing GHG emissions, including, for example, executive orders issued by the current U.S. administration with respect to climate change and the EPA's draft rule to rescind its prior determination that GHG emissions pose a danger to public health and welfare, could reduce the demand for products in this area and, in turn, the value of our investments into such products.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and our customers operate in a politically sensitive environment, and negative public and political perceptions of nuclear energy and radioactive materials could materially and adversely affect us, our customers, and the markets in which we operate.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Successful execution of our Nuclear (AES) business is dependent upon public support for nuclear power, in general, in the U.S. and other countries. The risks associated with uses of radioactive materials at our AES Facility and the public perception of those risks can affect our business. Opposition by third parties can delay or prevent the licensing and construction of new nuclear facilities and in some cases can limit the operation of nuclear facilities. Adverse public reaction to developments in the use of nuclear power could directly affect our business and indirectly affect our customers’ businesses. In addition, journalists, trade press and other third parties, potentially including one or more of the agencies with regulatory jurisdiction over us, may publish statements that negatively affect the public or political perception of us. We may also face adverse public or political perception due to a variety of environmental and social factors, including as relevant standards continue to evolve. Stakeholder and policymaker expectations on such matters are not uniform, and any failure to successfully navigate such expectations may result in various adverse impacts. Adverse public opinion or political perceptions or changes in applicable international treaties could result in increased regulatory requirements and costs, reduced access to or higher prices for raw materials and intermediates, or increase the likelihood that our operations are subject to liabilities or adverse claims. In the past, adverse public reaction, increased regulatory scrutiny and related litigation contributed to extended licensing and construction periods for new nuclear power plants, sometimes delaying construction schedules by decades or more, or even shutting down operations at already-constructed nuclear power facilities. To the extent that negative public and/or political perception of the nuclear fuel industry and radioactive materials, or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applicable law, regulations or international treaties, materially and adversely impacts our Nuclear (AES) business, our business, financial condition, results of operations and cash flows may also be materially and adversely impacted. In addition, if we were forced, or otherwise determined, to shut down the AES Facility, we may incur material costs.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significant percentage of our sales and operations is in non-U.S. jurisdictions and is subject to the economic, political, regulatory, foreign exchange and other risks of international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international operations represented approximately 43% of our net sales based on country of origin (or 57% of our net sales including U.S. exports) for the year ended December 31, 2025. Risks related to international operations include exchange control regulations, wage and price controls, fluctuations in foreign currency exchange rates, antitrust regulations, employment regulations, foreign investment laws, import, export and other trade restrictions and barriers (such as tariffs,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social or political activism, boycotts and our ability to hire and maintain qualified staff and maintain the safety of our employees in these regions. Instability and uncertainties arising from the global geopolitical environment, the impacts of war and other geopolitical events (including, but not limited to, the war in Ukraine, the conflict in the Middle East, and the growing geopolitical tensions in the Greater China region), and the evolving international and domestic political, regulatory and economic landscape, including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conflict between Russia and Ukraine has led to sanctions, export and import controls, and trade restrictions by the U.S. and other countries against Russian and Belarusian governments, government-related entities and other entities and individuals. In retaliation, Russia has taken actions against the U.S., the North Atlantic Treaty Organization members, and other nations. The evolving conflict may worsen existing conditions or cause new impacts, such as escalation in other European regions where we operate, increased U.S.-Russia tensions, and other unforeseen effects. These could result in higher costs, operational impacts, and adversely affect our financial position, ability to meet obligations, and overall financial condition. Continued escalation of the conflict may further impact our financial results and other disclosed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us to financial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requirements could result in loss of valuable proprietary information and could impact our competitive position and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significant tariffs or other restrictions continue to be placed on foreign imports by the U.S. and related countermeasures are taken by impacted foreign countries, our business, financial condition, results of operations and cash flows could be negatively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 government has imposed significant tariffs on a wide range of products and other imports into the U.S. and could implement additional tariffs and barriers to trade. If significant tariffs or other restrictions continue to be placed on foreign imports and related countermeasures are taken by impacted foreign countries, our business, financial condition, results of operations and cash flows may be negatively affected. Current tariffs, along with other trade actions, have triggered retaliatory actions by certain affected countries, and other foreign governments may also impose trade measures, including reciprocal tariffs, on other U.S. goods in the future. These tariffs and other trade actions could further increase the cost of, and reduce demand for, our products, which would adversely impact our business. In addition,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have outstanding indebtedness, and the degree to which we are leveraged could adversely affect our business, financial condition, results of operations and cash flow.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outstanding indebtedness, consisting of $1.0 billion of 5.625% Senior Notes due 2033 and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 We have also entered into uncommitted bilateral letter of credit agreements, which provide letter of credit facilities in an aggregate amount of $750 million (the “Sidecar LC Facilities,” and together with the Credit Facilities, the “Senior Credit Facilities”). Our ability to make required payments on or to refinance our indebtedness, including our current debt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 as well as the risk factors set forth herein. If we are not able to repay or refinance our debt as it becomes due, our Company may be forced to sell assets or take other actions. In addition, our ability to withstand competitive pressures and react to changes in our Company’s industry could be impaired by our debt service obligations. The Credit Agreement contains certain covenants that, among other things, limit the Company and its subsidiaries’ ability to incur additional indebtedness or liens, to dispose of assets, to make certain fundamental changes, enter into restrictive agreements, to make certain investments, loans, advances, guarantees and acquisitions, to prepay certain indebtedness and to pay dividends, to make other distributions or redemptions/repurchases, in respect of the Company and its subsidiaries’ equity interests, to engage in transactions with affiliates or amend certain material documents.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Credit Agreement also contains financial covenants for the benefit of the lenders under the Revolving Credit Facility. Our ability to comply with such covenants and other restrictions may be affected by events beyond our control, including prevailing economic, financial and industry conditions. If market or other economic conditions deteriorate, our ability to comply with these covenants may be impaired. A breach of any of these covenants, if applicable, could result in an event of default under the terms of this indebtedness. If an event of default occurred, the lenders would have the right to accelerate the repayment of such debt, and the event of default or acceleration could result in the acceleration of the repayment of any other debt to which a cross-default or cross-acceleration provision applies. We might not have, or be able to obtain, sufficient funds to make these accelerated payments, and lenders could then proceed against any collateral. Any subsequent replacement of the agreements governing such indebtedness or any new indebtedness could have similar or greater restrictions. The occurrence and ramifications of an event of default could adversely affect our business, financial condition, results of operations and cash flows. Moreover, as a result of all of these restrictions, we may be limited in how we conduct our business and pursue our strategy, unable to raise additional debt financing to operate during general economic or business downturns or unable to compete effectively or to take advantage of new business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not be able to obtain additional capital that we need in the future on favorable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capital in the future to finance our growth and development, upgrade and improve our manufacturing capabilities, implement further marketing and sales activities, fund ongoing R&amp;D activities, satisfy regulatory and environmental compliance obligations and national approvals requirements and meet general working capital needs. Our capital requirements will depend on many factors, including acceptance of and demand for our solutions, the extent to which we invest in new technology and R&amp;D projects and the status and timing of these developments. In addition, our ability to issue debt and/or equity securities, or enter into other financing arrangements, on terms acceptable to us could be adversely affected if there is a material decline in the demand for our products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ability to maintain our credit ratings. If our access to capital were to become constrained significantly, or if costs of capital increased significantly, due to lowered credit ratings, prevailing business conditions, the volatility of the capital markets or other factors, our business, financial condition, results of operations and cash flows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Moreover, prior to the Spin-off, we have historically relied on Honeywell for assistance in satisfying our capital requirements. We are no longer able to rely on the earnings, assets, cash flow or credit rating of Honeywell, and Honeywell will not provide funds to finance our capital requirements. We are responsible for obtaining and maintaining sufficient working capital and other funds to satisfy our cash requirements independent of Honeywell, and additional debt or equity financing may not be available to us on terms we find acceptable, or at all. Following the Spin-off, our access to and cost of debt financing may be different from the historical access to and cost of debt financing that was available to Honeywell. Differences in access to and cost of debt financing may result in differences in the margins charged to our Company on debt financings, as well as the amounts of indebtedness, types of financing structures and debt markets that may be available to our Company. In addition, Honeywell has agreed to provide us support through certain parent company guarantees that will remain in place during a transition period of up to 24 months following the Spin-off and as guarantor of or obligor for certain letters of credit and other credit support instruments that have been issued on our behalf during a transition period of up to 12 months following the Spin-off. These arrangements will have to be renegotiated in the future upon their expiration and may require incremental capital or borrowing capacity that might not be readily available on terms we find acceptable.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able to obtain financing or access the capital markets as needed in the future, incurring additional debt may significantly increase our interest expense and financial leverage, and our level of indebtedness could restrict our ability to fund future development and acquisition activities. Also, regardless of the terms of our debt or equity financing, our agreements and obligations under the Tax Matters Agreement that address compliance with Section 355 of the Code, may limit our ability to raise capital through the issuance of equity securities. We believe that we have adequate capital resources to meet our projected operating needs, capital expenditures and other cash requirements for the foreseeable future. However, we may need additional capital resources in the future, and if we are unable to obtain sufficient resources for our operating needs, capital expenditures and other cash requirements for any reason, our business, financial condition and results of operations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any indebtedness, if applicable, will depend on our ability to generate cash from operations, financings or asset sales. Our ability to generate cash is subject to general economic, financial, competitive, legislative, regulatory and other factors that are beyond our control. If we are not able to repay or refinance our debt as it becomes due, our Company may be forced to sell assets or take other actions. In addition, our ability to withstand competitive pressures and react to changes in our Company’s industry could be impaired by our debt service obligations. Upon the occurrence of certain events of default under any agreements governing our Company’s indebtedness, the holders of such debt may, in some cases, elect to accelerate amounts due thereunder, which could potentially trigger a default or acceleration of our Company’s other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compete successfully in the competitive markets in which we operate and, as a result, we may experience pricing pressure, fewer customer orders, reduced margins and the loss of market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be unable to compete successfully in the competitive markets in which we operate. In these markets, despite our strong market position, we encounter competition from numerous and varied competitors in all areas of our businesses. Some of our competitors have longer operating histories, greater resources, greater brand recognition (which may be exacerbated by the loss of Honeywell’s brand recognition following the Spin-off) and a larger base of customers than we do. As a result, we may lose business, customers and market share if we are unable to devote greater resources to R&amp;D, manufacturing, formulation, promotion, sale or support of our products, withstand adverse changes in economic conditions or prices of raw materials, and/or maintain competitive pricing. In addition, our competitors could enter into exclusive arrangements with our existing or potential customers or suppliers which could limit our ability to generate sales, acquire necessary raw materials and/or significantly increase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in industries which are fragmented on a global scale and consolidation of our competitors could also place us at a competitive disadvantage and reduce our profitability by jeopardizing the strength of our positions in one or more of our markets, which could adversely affect our business, financial condition, results of operations or cash flow as well as our growth potential.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is subject to both seasonal fluctuations and cyclical market conditions, which could cause variability in our financial results and liquidity.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financial results and liquidity are influenced by both the seasonality of our revenue and cash flow and the cyclical nature of the markets for many of our products. For example, the revenue from our RAS segment is subject to seasonal fluctuations, with sales activity generally being highest in the first half of the year, driven in part by seasonal demand and inventory build-up related to warmer weather and maintenance cycles in our Refrigerants business that peaks in the second quarter. Our Building Solutions &amp; Intermediates business typically experiences peak sales in the fourth quarter due to weather conditions and increased construction project activity, and our Healthcare Packaging business experiences peak sales mid-year, ahead of the winter season when medication consumption typically increases. This seasonality across the businesses within our RAS segment impacts the comparison of our financial condition and results of operations on a quarter-by-quarter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markets for certain of our products are cyclical. For example, our ESM segment experiences cyclicality, primarily due to inherently cyclical end markets such as semiconductors and construction. These industries are sensitive to economic fluctuations, with our Electronic Materials business tied to semiconductor fabrication cycles and our Research &amp; Performance Chemicals business influenced by trends in building and infrastructure investment. In these end markets, prolonged periods of reduced investment or demand—such as downturns in semiconductor fabrication spending or construction activity—could adversely affect our performance. The cyclicality of the results in certain of our businesses result in significant fluctuations in profits and cash flow from period to period and over the business cycle.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combination of seasonal revenue fluctuations and the cyclicality of our markets results in variability in our profits and cash flow from period to period and over the business cycle. This variability can impact our financial results and liquidity, making it challenging to predict our financial performance accurately.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Concentrations of credit, counterparty, and market risk may adversely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high interest rates, banking instability, and changes in economic conditions, including an economic downturn or recession, could also result in the credit deterioration or insolvency of a significant counterparty. Any such events could adversely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successfully execute or effectively integrate acquisitions or complete potential divestitures.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regularly review our portfolio of businesses and may pursue inorganic growth through strategic acquisitions or engage in strategic divestitures of assets or businesses. We may not be able to complete transactions on favorable terms, on a timely basis, or at all. In addition, our results of operations and cash flows may be adversely impacted by (i) the failure of any acquired businesses to meet or exceed expected returns, including risk of impairment, or the failure to realize the expected benefits of any divestitures; (ii) the failure to integrate any acquired businesses into the Company on schedule and/or to achieve expected synergies; (iii) the diversion of management’s attention from other business concerns;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 Our inability to successfully execute such transactions could adversely impact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face risks associated with our joint ventures and strategic co-development partnerships.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several joint ventures and strategic co-development partnerships in both the U.S. and abroad. Going forward, we may acquire interests in more joint venture enterprises or form other strategic co-development partnerships to execute our business strategy by utilizing our partners’ skills, experiences and resources. These joint ventures and co-development partnerships involve risks that our joint venture or strategic co-development partnerships partners may: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have economic or business interests or goals that are inconsistent with or adverse to ours;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take actions contrary to our requests or contrary to our policies or objectives, including actions that may violate applicable law;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be unable or unwilling to fulfill their obligations under relevant joint venture or other agreements;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have financial or business difficulties;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take actions that may harm our reputation;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have disputes with us as to the scope of their rights, responsibilities and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cases, joint ventures and strategic co-development partnerships may present us with a lack of ability to fully control all aspects of their operations, including due to veto rights, and we may not have full visibility with respect to all operations, customer relations and compliance practices, among others.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present or future joint venture and strategic co-development partnerships projects may not be successful. We have had, and in the future may have, disputes or encounter other problems with respect to our present or future joint venture or strategic co-development partnerships partners or our joint venture or strategic co-development partnerships agreements may not be effective or enforceable in resolving these disputes or we may not be able to resolve such disputes and solve such problems in a timely manner or on favorable economic terms, or at all. Any failure by us to address these potential disputes or conflicts of interest effectively could have a material adverse effect on our business, prospects, financial condition, results of operations, cash flows, as well as the trading price of our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depend on the recruitment and retention of qualified personnel, and our failure to attract and retain such personnel could adversely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complex nature of our business, our future performance is highly dependent upon the continued services of our employees and management who have significant industry expertise, including our engineering and design personnel and trained sales force. Our performance is also dependent on the development of additional personnel and the hiring of new qualified engineering, design, manufacturing, marketing, sales and management personnel for our operations. Competition for qualified personnel in our markets is intense, and we may not be successful in attracting or retaining qualified personnel, particularly as a standalone company that may not have the same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reputation or brand recognition as Honeywell. Moreover, we are dependent on the institutional knowledge of our longer-term employees and management with respect to our industries and manufacturing processes, and the transfer of that knowledge to subsequent generations of employees to maintain operational continuity. Furthermore, if we experience a sustained labor shortage or increased turnover rates within our employee base, our costs could increase, such as increased overtime to meet demand and increased wage rates to attract and retain employees, and our ability to meet our production schedules and project deadlines and to otherwise efficiently operate our business could be negatively impacted. The loss of key employees, our inability to attract new qualified employees or adequately train and transfer knowledge to employees, or the delay in hiring key personnel could negatively affect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operations and the prior operations of predecessor companies expose us to the risk of material environmental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potentially material liabilities related to the investigation and cleanup of environmental hazards and to third-party claims of personal injuries or property damages that may arise from hazardous substance releases and exposures. Under certain environmental laws, parties can be liable for contamination resulting from hazardous substances released at current or formerly owned or operated sites or at third-party waste disposal facilities on a joint and several basis and without regard to fault or the legality of the conduct giving rise to the releases. In particular, under the Separation Agreement, we were generally contractually allocated all environmental liabilities associated with the Solstice Advanced Materials business and are required to indemnify Honeywell and its affiliates against any of the liabilities that have been contractually allocated to us. We could incur liabilities under these laws or pursuant to the Separation Agreement arising out of our current and past operations and the operations and properties of predecessor companies (including offsite waste disposal). Legacy sites related to our business are involved in various environmental investigations and remediation obligations due to historic operations. For example, some of our formulating and manufacturing facilities have an extended history of chemical formulating and manufacturing operations or other industrial activities, and contaminants have been detected at some of our sites and offsite disposal locations.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Ultimate environmental costs and liabilities are difficult to predict and may significantly vary from current estimates. To the extent available, we maintain what we believe to be adequate insurance coverage. However, there can be no assurance that we will not incur losses in excess of our current reserves for environmental matters or beyond the limits or outside the terms of any such insurance coverage, or that we will be able to maintain adequate insurance at rates we consider reasonable. In addition, the discovery of additional contaminants, the inability or failure of other liable parties to satisfy their obligations, the imposition of additional cleanup obligations, or the commencement of related third-party claims could result in additional material costs and negatively impact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potentially material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if we are found to be in violation of these laws and regulations, we may be subject to substantial fines, criminal sanctions, trade restrictions, product recalls and public scrutiny and be required to install costly equipment or make operational changes to achieve compliance with such laws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changes in laws, regulations or government enforcement of policies concerning the environment, the discovery of previously unknown contamination or new technology or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Chemical manufacturing is inherently hazardous and may result in accidents, which may disrupt our operations or expose us to significant losses, liabilities or reputational harm.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hazards associated with chemical manufacturing and the related storage and transportation of raw materials, products and wastes are inherent in our operations as our R&amp;D, manufacturing, formulating, packaging and transportation activities involve the use of dangerous, toxic or hazardous materials and the generation of hazardous waste. We cannot eliminate the risk of accidental contamination, discharge or injury resulting from those materials. Also, our suppliers or contract manufacturers may use and/or generate such materials and waste in connection with producing, storing and/or transporting our products. We may be required to indemnify our suppliers, contract manufacturers or waste disposal contractors against damages and other liabilities arising out of the production, handling, storage or transportation of our products or raw materials or the disposal of related wastes. Potential risks include explosions and fires, chemical spills and other discharges or releases of toxic or hazardous substances or gases, or pipeline and storage tank leaks and ruptures. Those hazards may result in personal injury and loss of life, damage to property and contamination of the environment, all or any of which may result in a suspension of operations and the imposition of civil or criminal fines, penalties and other sanctions, cleanup costs, claims by governmental entities or third parties and reputational harm to the Company. The loss or shutdown of operations over an extended period could have a material adverse effect on our business, financial condition, results of operations and cash flows.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the risk of significant decommissioning and remediation expense in the event of a shut down of any manufacturing or other site, including sites in respect of which regulators, including the U.S. Nuclear Regulatory Commission (the “NRC”) and EPA (pursuant to the Resource Conservation and Recovery Act (“RCRA”)), may require letters of credit or other financial assurance.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incur substantial decommissioning and remediation expenses in the event of a decision to shut down any of our manufacturing sites or the closure of waste treatment, storage and disposal facilities, particularly in relation to our sites that handle hazardous materials or are subject to regulatory oversight. For example, RCRA requires closure and post-closure care activities, such as clean-up and monitoring, for certain hazardous waste management units at end-of-life and the NRC requires certain decommissioning processes when a nuclear facility is closed, including, among other things, reducing residual radioactivity and cleaning up any contamination. The decommissioning requirements regarding the safe dismantling of facilities, disposal of hazardous materials and remediation of the site, may become more stringent over time and may demand time and significant financial resources. The costs associated with decommissioning and remediation can be influenced by several factors, including the level of contamination at the relevant manufacturing site, any changes in environmental regulations or enforcement policies, the availability of decommissioning and remediation technologies and general fluctuations in market prices. Failure to adequately plan for and manage decommissioning and remediation expenses could have a material adverse effect on our business, financial condition, results of operations and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regulators, including the NRC and EPA, have required us to procure letters of credit to backstop certain asset retirement obligations, the most significant of which relate to those that would be applicable if the AES Facility were decommissioned in the future. These regulators may increase financial assurance requirements from us in connection with these decommissioning activities to ensure that sufficient funds are available to cover the costs, including the provision of additional letters of credit, surety bonds or other forms of financial guarantees. Ongoing and future compliance with these financial assurance requirements can impact our financial resources and liquidity. See Item 7. “Management’s Discussion and Analysis of Financial Condition and Results of Operations—Liquidity and Capital Resources” for more information.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cannot predict with certainty the outcome of litigation matters, government proceedings and other contingencies and uncertainties.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make certain commitments, including representations, warranties and indemnities relating to current and past operations, including those related to divested businesses, and issue guarantees of third-party obligations. We are subject to a number of lawsuits, investigations and disputes (some of which involve substantial amounts claimed) arising from the conduct of our business, including matters relating to commercial transactions, intellectual property and environmental, health and safety matters.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about these legal proceedings, including information regarding various ongoing legal proceedings related to the AES Facility, see Note 20 - Commitments and Contingencies of the Notes to the audited Consolidated Financial Statements. In addition, while we do not believe it to be a probable scenario, if we do not meet certain timing requirements for completing projects partially funded by the Department of Energy, we may be required to pay liquidated damages. See Item 1. “Business—Our Portfolio and Reported Segments—Refrigerants &amp; Applied Solutions Segment” for more information about our agreement with the Department of Energy with respect to the sharing of certain costs in connection with the expansion of our AES Facility.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potential liabilities are subject to change over time due to new developments (including new discovery of facts, changes in legislation, and outcomes of similar cases through the judicial system) or changes in assumptions and we may become subject to or be required to pay damage awards or settlements that could have an adverse effect on our business, financial condition, results of operations and cash flows. If we were required to make payments, such payments could be significant and could exceed the amounts we have accrued with respect thereto, adversely affecting our business, financial condition, results of operations and cash flows.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liquidity and financial condition, results of operations and cash flows.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reputation and financial performance may be materially impacted by cybersecurity attacks or data privacy or information security breaches.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operations, reputation and financial performance are highly dependent on the integrity and security of our information technology (“IT”) infrastructure. Cybersecurity is and will be a critical component of our enterprise risk management program. We face a wide range of global cybersecurity threats and incidents, from uncoordinated individual attempts to gain unauthorized access to sophisticated and targeted attacks known as advanced persistent threats. These threats could be directed at our company, our products, our customers, and our third-party software and service providers, including cloud providers. Our customers, including the U.S. government, increasingly require robust cybersecurity protections and standards in our products and services, which may result in additional costs to comply with such demands. While we have experienced, and expect to continue to experience, these types of threats and incidents, none of them to date have been material to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Despite deploying measures to deter, prevent, detect, respond to and mitigate these threats (including identity and access controls, data protection, vulnerability assessments, monitoring of our IT networks and systems, and maintenance of backup and protective systems), cybersecurity incidents could still occur and could go undetected and persist for an extended period of time. These incidents, which may be exacerbated by current geopolitical conflicts, could result in the misappropriation, destruction, corruption or unavailability of critical data and confidential or proprietary information, theft of funds and disruption of business operations. The evolving nature and increasing frequency of cyber threats, including the use of AI to craft sophisticated attacks, poses additional challenges in anticipating and preventing such incidents. In addition, as we increase our use of AI tools in our operations, the risk of unauthorized access to our data and of making errors or erroneous decisions based on our reliance on such tools may increase. If we fail to deter, detect or report cybersecurity incidents in a timely manner, we may suffer from financial and other harm, including to our information, operations, performance, employees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collect, store and process confidential or sensitive data, including proprietary business information and personal data, which is subject to data privacy and security laws, regulations and contractual obligations. Despite our efforts to protect such data, we may be vulnerable to material security breaches, theft, misplaced or lost data, programming errors or human errors. These vulnerabilities could lead to the compromise of data, improper use of our products, unauthorized access, use, disclosure, modification, or destruction of data, defective products, production downtimes and operational disruptions. Noncompliance with applicable industry standards or legal obligations regarding data privacy and security could result in costs, fines, litigation or regulatory actions, increased mitigation and remediation expenses, and/or diminished competitive advantages through reputational damages and could lead customers to select competitors’ products and services. Further, cybersecurity and data protection laws and regulations continue to evolve, and are increasingly demanding, both in the U.S. and globally, which adds compliance complexity and may increase our costs of compliance and expose us to litigation, monetary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regulatory enforcement actions or fines in one or more jurisdictions. While we carry cybersecurity insurance, we cannot be certain that our coverage will be adequate for liabilities actually incurred, that insurance will continue to be available to us on economically reasonable terms, or at all, or that any insurer will not deny coverage as to any future claim.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our customers, partners, vendors, suppliers, subcontractors and others to whom we entrust confidential data, and on whom we rely to provide products and services, face similar threats and growing requirements, including ones for which others may seek to hold us responsible. While we perform cybersecurity due diligence on our key vendors and service providers, we do not control such third parties and our ability to monitor their cybersecurity is limited. As such, we cannot ensure the cybersecurity measures they take will be sufficient to protect any information we share with them or prevent any disruption arising from a technology failure, cyberattack or other information or security breach, or to enable them to report any such incidents to us in a timely manner. We depend on such parties to implement adequate controls and safeguards to protect against and report cyber incidents. If such parties fail to deter, detect or report cyber incidents in a timely manner, we may suffer from financial and other harm, including to our information, operations, financial results, performance, employees and reputation.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 material disruption of our operations, particularly at our manufacturing facilities or within our IT infrastructure, could adversely affect our business, financial condition, results of operations and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or may not be effective,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or a cyber-attack or other security incident, and recurring extreme weather events or other adverse events could reduce the availability or increase the cost of insurance. Any such material disruption of our operations could adversely affect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impacted by increasing stakeholder interest in public company performance, disclosure, and goal-setting with respect to sustainability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customer, investor, employee, governmental, and other stakeholder interest in sustainability practices, we may establish goals and other objectives related to sustainability matters. Our ability to achieve any goal or objective that we may establish in the future, including with respect to sustainability initiatives, is subject to numerous risks, many of which are outside of our control. Examples of such risks include: (i) the availability and cost of low- or non-carbon-based energy sources and technologies, (ii) evolving regulatory requirements affecting sustainability standards or disclosures, (iii) the availability of suppliers that can meet our sustainability and other standards, and (iv) the impact of our organic growth and of any acquisitions or dispositions of businesses on our operations. In addition, standards for tracking and reporting on sustainability matters have not been harmonized across jurisdictions and continue to evolve. Our processes and controls for reporting of sustainability matters may not always comply with evolving and disparate standards for identifying, measuring and reporting sustainability metrics, our interpretation of reporting standards may differ from those of others, and such standards may change over time, any of which could result in significant revisions to our performance metrics, goals or reported progress in achieving such goals. We may also face increasing scrutiny regarding the accuracy of our sustainability-related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disclosures, and may be subject to claims of “greenwashing” if our disclosures are perceived as misleading or unsubstantiated. On the other hand, some investors may have a negative response to sustainability practices as a result of anti-environmental, social and governance sentiment and may choose not to invest in us, or divest in their holdings of us, as a result of our sustainability practices and initiatives. Furthermore, there are also an increasing number of state- and federal-level anti-environmental, social and governance initiatives in the U.S. that may conflict with other regulatory requirements, resulting in regulatory uncertainty.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our sustainability practices or business portfolio do not meet evolving regulatory,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may announce, or at all, could have similar negative impacts and expose us to government enforcement actions and private litigation, including those related to alleged greenwashing. Such events could adversely affect our business, financial condition, results of operations or cash flow.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our intellectual property were compromised or copied, if our competitors were to develop similar or superior intellectual property or technology or if we fail to maintain, protect, defend or enforce our intellectual property or to be successful in litigation related to our intellectual property or the intellectual property of others, our business, financial condition, results of operations and cash flows could be negatively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Intellectual property rights, including patents, confidential information (including trade secrets and know-how), trademarks and tradenames, are important to our business. We endeavor to protect our intellectual property rights in key jurisdictions in which our products are made, used, sold or imported. Our success depends to a significant degree upon our ability to obtain, maintain and defend or otherwise protect our intellectual property rights. However, in certain jurisdictions, we may be unable to obtain protection for our intellectual property or to successfully defend or enforce our numerous patents, trademarks and other proprietary rights. If third parties expand their manufacturing capacity for refrigerants in China (including in respect of HFOs), third-party infringement of our intellectual property rights may increase. Our patents and other intellectual property rights may expire or be challenged, invalidated, designed around or found to be unenforceable or otherwise compromised. A failure to maintain, protect, defend or enforce our intellectual property could have an adverse effect on our financial condition and results of operations. Similarly, third parties may assert claims against us and our direct and indirect customers, alleging that our products infringe upon, misappropriate or otherwise violate third-party intellectual property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 variety of unpatented proprietary technologies, including trade secrets and know-how, particularly related to our manufacturing operations, and we believe that such technologies provide us with a competitive advantage. While we have policies, procedures and agreements and, with certain of our projects, employ an intellectual property protection manager to ensure compliance with these protection measures to protect the applicable technologies, these tools may be insufficient to prevent loss of technology or leakage of applicable confidential information or trade secrets, including because these agreements may not be enforceable or, even if they are legally enforceable, we may not have adequate remedies for breaches of such agreements. We also may not be able to readily detect breaches of such procedures or agreements. The failure to protect our unpatented proprietary technology, including know-how and trade secrets, could result in significantly lower revenues, reduced profit margins or loss of market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must take legal action to maintain, protect, defend or enforce our intellectual property rights, any suits or proceedings could result in significant costs and diversion of resources and management’s attention, and we may not prevail in any such suits or proceedings. We have occasionally received, and may in the future receive, third-party claims alleging infringement of third-party intellectual property rights, which could be costly to defend and could require us to pay damages, limit our future use of certain technologies, harm our brand and reputation, increase our costs and prevent us from offering some services or products. We may decide to settle such claims on unfavorable terms or be required to pay damages, stop providing or using the affected products or services, undertake workarounds or substantial reengineering of our products or services or enter into royalty or licensing agreements, which may include terms that are not commercially acceptable to us. We may receive notices calling upon us to defend partners, clients, suppliers or distributors against third-party claims under indemnification clauses in our contracts, in respect of intellectual property matters. A failure to maintain, protect, defend or enforce our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rights could have an adverse effect on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U.S. and non-U.S. tax liabilities are dependent, in part, upon the distribution of income among various jurisdictions in which we operate, as well as changes in tax law or regulation.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To preserve the intended tax-free treatment to Honeywell and its shareowners of the Spin-off and certain related transactions under the Tax Matters Agreement that we entered into with Honeywell, we are restricted from taking certain actions that could adversely impact the intended tax treatment of the Spin-off and such related transactions. Our tax expense includes estimates of tax reserves and reflects other estimates and assumptions, including assessments of future earnings of the Company, which could impact the valuation of our deferred tax assets. In addition, our future effective tax rates could be subject to volatility or adversely affected by changes in tax laws, regulations, accounting principles or interpretations thereof.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(“OECD”)/G20 and other invited countries developed a global tax framework inclusive of a 15% global minimum tax under the Pillar Two Global Anti-Base Erosion Rules (“Pillar Two”). On December 15, 2022, the Council of the EU formally adopted the OECD’s framework to achieve a coordinated implementation among EU Member States consistent with EU law. The EU’s Pillar Two Directive effective dates were January 1, 2024, and January 1, 2025, for different aspects of the directive. Other major jurisdictions are actively considering and implementing changes to their tax laws to adopt certain parts of the OECD’s proposals. We have assessed this framework and determined, based upon available guidance, that these changes will not have a material impact on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required to make significant cash contributions to the defined benefit pension plans that we sponsor.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sponsor defined benefit pension plans under which certain eligible Company employees earn pension benefits. Plans are established in several countries including the U.S. The Federal Pension Protection Act of 2006, which is generally applicable to U.S. defined benefit pension plans, generally requires that defined benefit pension plans maintain certain capitalization levels. Based on currently available information, we do not expect to be required to make cash contributions to our U.S. defined benefit pension plan within the next 12 months. However, there can be no assurance that we will not be required to make cash contributions in the future to meet the requirements of applicable law. Additionally, as pension liabilities accrue under this defined benefit pension plan, we may be required by law to make future plan contributions. Any such contributions may be material and could adversely affect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our stock price and our ability to access the capital markets could be adversely impacted, and investors’ views of us could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Sarbanes-Oxley Act of 2002, as amended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with auditor attestation of the effectiveness of our internal controls, beginning with our annual report on Form 10-K for the year ending December 31, 2026. To comply with these requirements, we may need to upgrade our systems, implement additional financial and management controls, reporting systems and procedures and hire additional accounting and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staff. We expect to incur additional annual expenses for the purpose of addressing these and other public-company reporting requirements. If we are unable to upgrade our financial and management controls, reporting systems, IT systems and procedures in a timely and effective fashion, our ability to comply with financial reporting requirements and other rules that apply to reporting companies under the Exchange Act could be impaired.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shares of common stock could decline and we could be subject to sanctions or investigations by the SEC or other regulatory authorities, which would require additional financial and management resources.</w:t>
      </w:r>
    </w:p>
    <w:p>
      <w:pPr>
        <w:pStyle w:val="TextBody"/>
        <w:bidi w:val="0"/>
        <w:spacing w:lineRule="auto" w:line="288" w:before="0" w:after="180"/>
        <w:jc w:val="both"/>
        <w:rPr/>
      </w:pPr>
      <w:r>
        <w:rPr>
          <w:rFonts w:ascii="Times New Roman;serif" w:hAnsi="Times New Roman;serif"/>
          <w:b w:val="false"/>
          <w:color w:val="000000"/>
          <w:sz w:val="20"/>
        </w:rPr>
        <w:t>Our ability to comply with Section 404 requires us to be able to prepare timely and accurate financial statements.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Moreover, we cannot be certain that these measures would ensure that we implement and maintain adequate controls over our financial processes and reporting in the future. Even if we were to conclude, and our auditors were to concur, that our internal control over financial reporting provided reasonable assurance regarding the reliability of financial reporting and the preparation of financial statements for external purposes in accordance with GAAP, because of its inherent limitations, internal control over financial reporting might not prevent or detect fraud or misstatements. This, in turn, could have an adverse impact on trading prices for our shares of common stock and could adversely affect our ability to access the capital markets</w:t>
      </w:r>
      <w:r>
        <w:rPr>
          <w:rFonts w:ascii="Times New Roman;serif" w:hAnsi="Times New Roman;serif"/>
          <w:b w:val="false"/>
          <w:color w:val="000000"/>
          <w:sz w:val="20"/>
          <w:shd w:fill="FFFFFF" w:val="clear"/>
        </w:rPr>
        <w:t>. See “—Risks Relating to the Spin-off—As we build our IT infrastructure and transition our data to our own systems, we could incur substantial additional costs and experience temporary business interruptions, including cybersecurity incidents.”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the Spin-off</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The Spin-off could result in significant tax liability to Honeywell and its shareowners if it is determined to be a taxable transaction and, in certain circumstances, the Company could be required to indemnify Honeywell for material taxes pursuant to indemnification obligations under the Tax Matters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Spin-off, Honeywell received certain written opinions to the effect that, among other things, the Spin-off qualifies as a transaction that is intended to be tax-free for U.S. federal income tax purposes under the Internal Revenue Code of 1986. The tax opinions relied on certain facts, assumptions, representations and undertakings from Honeywell and the Company, including those regarding the past and future conduct of the companies’ respective businesses and other matters. An opinion of counsel neither binds the IRS nor precludes the IRS or the courts from adopting a contrary position. Therefore, notwithstanding the tax opinions, the IRS could determine that the Spin-off or any of certain related transactions is taxable if it determines that any of these facts, assumptions, representations or undertakings are not correct or have been violated, or that the Spin-off should be taxable for other reasons, including if the IRS were to disagree with the conclusions in the tax opinions. If the conclusions expressed in the tax opinions are challenged by the IRS, and if the IRS prevails in such challenge, the tax consequences of the Spin-off could be materially less favorable. For more information regarding the tax opinions, see the section of the Company’s final Information Statement, dated as of October 17, 2025, entitled “The Spin-Off—U.S. Federal Income Tax Consequences of the Distribution.”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To preserve the intended tax-free treatment to Honeywell and its shareowners of the Spin-off and certain related transactions under the Tax Matters Agreement that we entered into with Honeywell, we are restricted from taking certain actions that could adversely impact the intended tax treatment of the Spin-off and such related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preserve the intended tax-free treatment to Honeywell and its shareowners of the Spin-off and certain related transactions under the Tax Matters Agreement that we entered into with Honeywell, we are restricted from taking certain actions that could adversely impact the intended tax treatment of the Spin-off and certain related transactions. Failure to adhere to such restrictions, including in certain circumstances that may be outside of our control, could result in tax being imposed on Honeywell for which we could bear responsibility and for which we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obligated to indemnify Honeywell. In addition, even if we are not responsible for tax liabilities of Honeywell under the Tax Matters Agreement, we nonetheless could potentially be liable under applicable tax law for such liabilities if Honeywell were to fail to pay such taxes. If any tax regulators, foreign or domestic, reach different determinations regarding the intended tax-free treatment of the transaction, we may also experience material adverse tax consequences.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of the Tax Matters Agreement may, furthermore, restrict us from taking certain actions, particularly for the two years following the completion of the Spin-off, including (among other things) the ability to freely issue stock, to merge or agree to merge with a third party, to be acquired or agree to be acquired by certain parties and to raise additional equity capital. Such restrictions could impair our ability to implement strategic initiatives. Also, our indemnity obligation to Honeywell might discourage, delay or prevent a change of control that we or our shareowners may otherwise consider favorable. These restrictions may limit our ability to enter into certain strategic transactions or other transactions that we may believe to be in the best interests of our shareowners or that might increase the value of our business. In addition, under the Tax Matters Agreement, we may be required to indemnify Honeywell against certain tax liabilities as a result of the acquisition of our stock or assets, even if we did not participate in or otherwise facilitate the acquisition. If we are unable to take certain strategic actions as desired, or are required to indemnify Honeywell, our stock price, business, financial condition, results of operations and cash flows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achieve some or all of the benefits that we expect to achieve from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be unable to achieve the full strategic and financial benefits expected to result from the Spin-off, or such benefits may be delayed or not occur at all. We believe that as an independent, publicly traded company, we are able to, among other things, design and implement corporate strategies and policies that are better targeted to our business’s areas of strength and differentiation, better focus our financial and operational resources on those specific strategies, create effective incentives for our management and employees that are more closely tied to our business performance, provide investors more flexibility, achieve alignment with a more aligned shareowner base and implement and maintain a capital structure designed to meet our specific needs. We may be unable to achieve some or all of the benefits that we expect to achieve as an independent company in the time we expect, if at all, for a variety of reasons, including: (i) compliance with the requirements of being an independent, publicly traded company require significant amounts of our management’s time and effort, which may divert management’s attention from operating and growing our business; (ii) we may be more susceptible to market fluctuations, actions by activist shareowners, and other adverse events than if we were still a part of Honeywell; (iii) our businesses are less diversified than Honeywell’s businesses prior to the Spin-off, and our results of operations, cash flows, working capital and financing requirements may be subject to higher volatility than prior to the Spin-off; (iv) the actions required to separate Honeywell’s and our respective businesses could disrupt our operations; and (v) under the terms of the Tax Matters Agreement, we are restricted from taking certain actions that could cause the Spin-off to fail to qualify as a tax-free transaction, and these restrictions may limit us for a period of time from pursuing strategic transactions, equity issuances or engaging in other transactions that may increase the value of our business. If we fail to achieve some or all of the benefits that we expect to achieve as an independent company, or do not achieve them in the time we expect, our stock price, business, financial condition, results of operations and cash flows could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be unable to make, on a timely or cost-effective basis, the changes necessary to operate as an independent, publicly traded company, and we may experience increased costs after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operated as part of Honeywell’s corporate organization, and Honeywell has provided us with various corporate functions. Following the Spin-off, Honeywell does not provide us with assistance other than the transition and other services described under “Certain Relationships and Related Party Transactions—Agreements with Honeywell” in the Company’s final Information Statement, dated October 17, 2025. These services do not include every service that we have received from Honeywell in the past, and Honeywell is only obligated to provide the transition services for limited periods following completion of the Spin-off. All of these agreements govern our relationship with Honeywell. We rely on Honeywell to satisfy its performance obligations under these agreements. If we or Honeywell are unable to satisfy our or its respective obligations under these agreements,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indemnification obligations, we could incur operational difficulties or losses, and our business, results of operations, cash flows, and financial condition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cessation of any transition services agreements, we need to provide internally or obtain from unaffiliated third parties the services we will no longer receive from Honeywell. These services include legal, finance, IT, software development, human resources and other infrastructure support, the effective and appropriate performance of which are critical to our operations. Although we have made progress in providing and obtaining such services, we may be unable to replace these services in a timely manner or on terms and conditions as favorable as those we receive from Honeywell. While we have been installing and implementing infrastructure to support certain of our business functions, including accounting and financial reporting, human resources, legal and compliance, communications, and indirect sourcing following the Spin-off, because our business has historically operated as part of the wider Honeywell organization, we may be unable to successfully establish the infrastructure or implement the changes necessary to operate independently, or may incur additional costs that could adversely affect our business. If we are unable to complete our transition effectively, we may incur temporary interruptions in business operations. Any delay in implementing, or operational interruptions suffered while implementing, our new infrastructure, or if we fail to obtain the quality of services necessary to operate effectively or incur greater costs in obtaining necessary services, our business, financial condition, results of operations and cash flows may be adversely affected.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have potential business conflicts of interest with Honeywell with respect to our past and ongoing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Conflicts of interest may arise with Honeywell in a number of areas relating to our past and ongoing relationships,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labor, tax, employee benefit, indemnification and other matters arising from our Spin-off from Honeywell;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employee recruiting and retention;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business combinations involving our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resolve any potential conflicts and, even if we do so, the resolution may be less favorable to us than if we were dealing with a previously unaffiliated party.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of our directors and employees may have actual or potential conflicts of interest because of their financial interests in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their former positions with Honeywell, certain of our executive officers and directors, including the chairman of our Board of Directors (the “Board” or “Board of Directors”), own equity interests in Honeywell. Continuing ownership of Honeywell shares could create, or appear to create, potential conflicts of interest if our Company and Honeywell face decisions that could have implications for both our Company and Honeywell. We have not currently identified any conflicts of interest; however, potential conflicts of interest could arise in connection with the resolution of any dispute between us and Honeywell regarding the terms of the agreements governing the Spin-off and our relationship with Honeywell. See the section entitled “Relationship with Honeywell” for information about some of these agreements.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Code of Business Conduct applies to our directors and executive officers, as well as employees, and is intended to promote honest and ethical conduct, including the handling of actual or apparent conflicts of interests. Further, the Board has also adopted certain governance principles and practices related to actual or potential conflicts of interest. Our Nominating and Governance Committee reviews and oversees any related party transactions for potential conflicts of interest on an ongoing basis, as appropriate. It is also our Board’s practice for any director who has a potential or actual conflict of interest in relation to a particular matter under consideration by the Board to disclose such potential or actual conflict to the Board in advance of the Board’s action on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As we build our IT infrastructure and transition our data to our own systems, we could incur substantial additional costs and experience temporary business interruptions, including cybersecurity incidents.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Spin-off, we have implemented, or are in the process of implementing, IT infrastructure to support certain of our business functions, including payment systems and systems for enterprise resource planning, accounting and reporting, manufacturing process control, customer service, inventory control and distribution. We may incur substantially higher costs than currently anticipated as we transition from the transactional and operational systems and data centers we used as part of Honeywell to our own systems and infrastructure. Such transitions must also comply with applicable personal data privacy laws. If we are unable to complete these transitions effectively, we may incur temporary interruptions in business operations and/or become more susceptible to cybersecurity incidents. Any delay in implementing or operational interruptions suffered while implementing our new IT infrastructure could disrupt our business and have an adverse effect on our business, financial condition, results of operations and cash flows.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Restrictions under the Intellectual Property Cross-License Agreement may limit our ability to develop and commercialize certain products and services and/or prosecute, maintain and enforce certain intellectual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dependent to a certain extent on Honeywell to prosecute, maintain and enforce certain of the intellectual property licensed to us under the Intellectual Property Cross-License Agreement. For example, Honeywell is responsible for filing, prosecuting and maintaining (at its discretion) patents that Honeywell licenses to us. Honeywell also has the sole right to enforce its intellectual property, including patents, trade secrets and other know-how licensed to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Intellectual Property Cross-License Agreement, if we challenge certain patents licensed to us under such agreement, we could have our rights relating to certain patents or all patents licensed to us terminated. Although we have put appropriate procedures in place to avoid triggering these consequences under the Intellectual Property Cross-License Agreement, there is a risk that challenges to the validity, patentability, enforceability or inventorship of patents that we routinely file may inadvertently trigger these consequences, which could limit our ability to develop and commercialize products and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use of the intellectual property licensed to us under the Intellectual Property Cross-License Agreement is restricted to certain fields, which could limit our ability to develop and commercialize certain products and services. For example, the licenses granted to us under the agreement do not extend to all fields of use that we may in the future decide to enter into. These restrictions may make it more difficult, time-consuming and/or expensive for us to develop and commercialize certain new products and services, or may result in certain of our products or services being later to market than those of our competitors. If we are unable to develop and commercialize products and services, and prosecute, maintain and enforce intellectual property, as needed, our business, financial condition, operations and cash flows could be adversely impacted.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 connection with the Spin-off, we assumed and agreed to indemnify Honeywell for certain liabilities. If we are required to make payments pursuant to these indemnities, we may need to divert cash to meet those obligations, and our financial results could be negatively impacted. In addition, Honeywell will indemnify us for certain liabilities. These indemnities may not be sufficient to insure us against the full amount of liabilities we incur.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Separation Agreement, the Employee Matters Agreement, the Tax Matters Agreement and the Trademark License Agreement with Honeywell, we agreed to assume and indemnify Honeywell for certain liabilities, including environmental liabilities associated with the Advanced Materials business, including toxic tort or other hazardous material exposure claims, for uncapped amounts, which may include, among other items, associated defense costs, settlement amounts and judgments. Payments pursuant to these indemnities may be significant and could negatively impact our business, particularly indemnities relating to our actions that could impact the intended tax-free nature of the distribution. Third parties could also seek to hold us responsible for any of the liabilities allocated to Honeywell and those related to discontinued and/or divested businesses and operations of Honeywell. Honeywell agreed to indemnify us for such liabilities, but such indemnities may not be sufficient to protect us against the full amount of such liabilities. Even if we ultimately succeed in recovering from Honeywell any amounts for which we are held liable, we may be temporarily required to bear these losses. Each of these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could negatively affect our business, financial condition, results of operations and cash flows. See “Certain Relationships and Related Party Transactions—Agreements with Honeywell—Liabilities” and “Certain Relationships and Related Party Transactions—Agreements with Honeywell—Separation Agreement” in the final Information Statement, dated as of October 17, 2025,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Spin-off and related internal restructuring transactions may expose us to potential liabilities arising out of state and federal fraudulent conveyance laws and legal dividend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(including, without limitation, a trustee or debtor-in-possession in a bankruptcy by us or Honeywell or any of our or its respective subsidiaries) may bring a lawsuit alleging that the Spin-off or any of the related transactions constituted a fraudulent conveyance. If a court accepts these allegations, it could impose a number of remedies, including, without limitation, voiding the distribution and returning our assets or shares and subjecting Honeywell and/or us to liability.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distribution of our common stock was also subject to state corporate distribution statutes. Under applicable Delaware law, including the Delaware General Corporation Law (the “DGCL”), a corporation may only pay a distribution of common stock to its shareowners if certain conditions are met, including that the distribution is made entirely out of surplus. Although Honeywell made the distribution of our common stock entirely out of surplus and Honeywell obtained a</w:t>
      </w:r>
      <w:r>
        <w:rPr>
          <w:color w:val="000000"/>
        </w:rPr>
        <w:t xml:space="preserve"> </w:t>
      </w:r>
      <w:r>
        <w:rPr>
          <w:rFonts w:ascii="Times New Roman;serif" w:hAnsi="Times New Roman;serif"/>
          <w:b w:val="false"/>
          <w:color w:val="000000"/>
          <w:sz w:val="20"/>
        </w:rPr>
        <w:t>solvency opinion from an independent appraisal firm, we and Honeywell cannot ensure that a court would reach the same conclusion in determining the availability of surplus for the separation and the distribution to Honeywell’s shareowners.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Relating to Our Common Stock and the Securities Market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stock price may fluctuate significantly.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widely, depending on many factors, some of which may be beyond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fluctuations in our results of operations due to factors related to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 or failure of our business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competition and industry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interest rates and other factors that affect earnings and cash flows;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level of indebtedness, our ability to make payments on or service our indebtedness and our ability to obtain financing as needed;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continuously satisfy financial covenants associated to any debt transactions and/or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indemnification obligations to Honeywell;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retain and recruit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quarterly or annual earnings, or those of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or dispositions;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accounting standards, policies, guidance, interpretations or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failure of securities analysts to cover, or positively cover, our common stock after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earnings estimates by securities analysts or our ability to meet those estimates;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operating and stock price performance of other comparable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investor perception of our Company and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overall market fluctuations unrelated to our operating performance;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results from any material litigation or government investigation;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laws and regulations (including tax laws and regulations) affecting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capital gains taxes and taxes on dividends affecting shareowners;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and other external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Low trading volume for our stock, which may occur if an active trading market is not sustained, among other reasons, would amplify the effect of the above factors on our stock price volatility. In addition, any lack of an active market may make it more difficult for shareowners to sell our shares and could lead to our share price being depressed or volatile.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Should the market price of our shares drop significantly, shareowners may institute securities class action lawsuits against the Company. A lawsuit against us could cause us to incur substantial costs and could divert the time and attention of our management and other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will evaluate whether to continue to pay cash dividends on our common stock in the future, and the terms of our indebtedness may limit our ability to pay dividends on our common stock or the amount thereof or otherwise engage in actions intended to return capital to our shareowners.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announced payment of its first quarterly dividend in February 2026, payable in March 2026. The Company currently expects quarterly dividends to continue in future periods, although they remain subject to determination and declaration by the Board of Directors. The timing, declaration, amount and payment of any future dividends to shareowners falls within the discretion of our Board of Directors, who will consider, among other things, our financial condition, earnings, sufficiency of distributable reserves, capital needs of our business, opportunities to retain future earnings for use in the operation of our business and to fund future growth, capital requirements, debt service obligations, legal requirements and regulatory constraints. Additionally, the terms of our indebtedness limit our ability to pay cash dividends and to engage in certain other actions intended to return capital to our shareowners, such as engage in stock repurchases. There can be no assurance that we will continue to pay any dividends in the future or that we will engage in any other actions intended to return capital to our shareowners, such as engage in stock repurchases.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Your percentage ownership in the Company may be diluted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Your percentage ownership in the Company may be diluted in the future because of equity issuances for acquisitions, capital market transactions or otherwise, including equity awards that we grant to our directors, officers and other employees. We have issued our directors, officers, certain of our employees and others certain stock-based awards as part of our ongoing equity compensation program, and some of those persons also received stock-based awards from Honeywell prior to the Spin-off that converted to our stock-based awards. Such awards will have a dilutive effect on our earnings per share, which could adversely affect the market price of our common stock. We have issued, and plan to continue to issue, additional stock-based awards, including annual awards, new hire awards, and periodic retention awards, as applicable, to our directors, officers, and other employees under our employee benefits plans as part of our ongoing equity compensation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Amended and Restated Certificate of Incorporation authorizes us to issue, without the approval of our shareowners, one or more classes or series of preferred stock having such designation, powers, preferences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relative, participating, optional and other special rights, including preferences over our common stock with respect to dividends and distributions, as our Board of Directors may generally determine. The terms of one or more classes or series of preferred stock could dilute the voting power or reduce the value of our common stock. For example, we could grant the holders of preferred stock the right to elect some number of the members of our Board in all events or upon the happening of specified events, or the right to veto specified transactions. Similarly, the repurchase or redemption rights or liquidation preferences that we could assign to holders of preferred stock could affect the residual value of our common stock.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from time to time, we may opportunistically evaluate and pursue acquisition opportunities, including acquisitions for which the consideration thereof may consist partially or entirely of newly issued shares of our common stock and, therefore, such transactions, if consummated, would dilute the voting power and/or reduce the value of our common stock.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Certain provisions in our Amended and Restated Certificate of Incorporation and Amended and Restated By-Laws and Delaware law may discourage takeovers.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Several provisions of our Amended and Restated Certificate of Incorporation, Amended and Restated By-Laws and Delaware law may discourage, delay or prevent a merger or acquisition. These include, among others, provisions 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allow our Board to issue preferred stock without shareowner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for staggered terms for directors on our Board for a period following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discourage attempts to remove and replace incumbent directors for a period following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prevent shareowners from altering the size of our Board for a period following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do not permit our shareowners to act by written consent and require that shareowner action must take place at an annual or special meeting of our shareowners, in each case except as such rights may otherwise be provided to holders of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 advance notice requirements for shareowner nominations and proposals;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do not permit shareowners to cumulate votes in the election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allow our directors, and not shareowners, to fill vacancies on our Board (including those resulting from an enlargement of the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the persons who may call special meetings of shareowners;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 our ability to enter into business combination transactions;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discourage attempts to amend anti-takeover provisions in the Amended and Restated Certificate of Incorporation and Amended and Restated By-Laws for a period following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following the Spin-off, we are subject to Section 203 of the DGCL. Section 203 of the DGCL provides that, subject to limited exceptions, persons that (without prior Board approval) acquire, or are affiliated with a person that acquires, more than 15% of the outstanding voting stock of a Delaware corporation shall not engage in any business combination with that corporation, including by merger, consolidation or acquisitions of additional shares, for a three-year period following the date on which that person or its affiliate becomes the holder of more than 15% of the corporation’s outstanding voting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provisions protect our shareowners from coercive or otherwise unfair takeover tactics by requiring potential acquirers to negotiate with our Board and by providing our Board with more time to assess any acquisition proposal. These and other provisions of our Amended and Restated Certificate of Incorporation, Amended and Restated By-Laws and Delaware law may discourage, delay or prevent certain types of transactions involving an actual or a threatened acquisition or change in control of the Company, including unsolicited takeover attempts, even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though the transaction may offer our shareowners the opportunity to sell their shares of our common stock at a price above the prevailing market price. These provisions may also prevent or discourage attempts to remove and replace incumbent directors.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Amended and Restated By-Laws designate the courts of the State of Delaware or the federal district courts of the U.S., as applicable, as the sole and exclusive forum for certain types of actions and proceedings that may be initiated by our shareowners, which could limit our shareowners’ ability to obtain a favorable judicial forum for disputes with us or our directors, officers or other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in all cases to the fullest extent permitted by law, unless we consent in writing to the selection of an alternative forum, any state or federal court located within the State of Delaware will be the sole and exclusive forum for any derivative action or proceeding brought on behalf of the Company, any action asserting a claim of breach of a fiduciary duty owed by any director, officer, other employee, shareowner or agent of the Company to the Company or the Company’s shareowners, any action asserting a claim arising pursuant to the DGCL, our Amended and Restated Certificate of Incorporation or our Amended and Restated By-Laws, or any action asserting a claim governed by the internal affairs doctrine. Notwithstanding the foregoing, our Amended and Restated By-Laws provide that, unless we consent in writing to the selection of an alternative forum, the federal district courts of the U.S. shall, to the fullest extent permitted by law, be the sole and exclusive forum for the resolution of any complaint asserting solely a cause of action arising under the Securities Act or any rules or regulations promulgated thereunder. These exclusive forum provisions do not apply to any action brought to enforce a duty or liability created by the Exchange Act or any rules or regulations promulgated thereunder, to the extent such application would be contrary to law. Our shareowners are not deemed to have waived our compliance with the federal securities laws and the rules and regulations thereunder as a result of our exclusive forum provisions. The choice of forum provision in our Amended and Restated By-Laws may limit a shareowner’s ability to bring a claim in a judicial forum that it finds favorable for disputes with us or our directors, officers, other employees, shareowners or agents, which may discourage such lawsuits against us or our directors, officers, other employees, shareowners or agents.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cybersecurity and information security risk management program designed to assess, identify, manage, and govern material risks from cybersecurity threats. Our cybersecurity and information security risk management program is a key component of our overall enterprise risk management program. We maintain cybersecurity policies and procedures in accordance with industry standard control frameworks and applicable regulations, laws, and standards. We maintain oversight of our cybersecurity and information security risk management program via a corporate structure that includes a Cybersecurity Disclosure Committee, a Security Governance Council, the Audit Committee of the Board of Directors (“Audit Committee”) and the Board of Directors. We assess and evaluate cybersecurity-related risks on a quarterly basis or as needed, to determine whether any such risks have the potential to materially impact our business operations, revenue, and expenditures and to understand the degree of such risks relative to other risks faced by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Information Security Officer has served in various roles in IT and information security for nearly 25 years, including security-related roles in technology deployments, cyber risk management, regulatory compliance and operations. He holds a diploma in Information Technology from Nettur Technical Training Foundation and a post graduate diploma in information technology from the Sikkim Manipal University. Prior to serving in his current role, our Chief Information Security Officer was part of Honeywell’s global security leadership, leading the governance, risk and compliance function across the global enterprise.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Chief Information Security Officer reports to our Senior Vice President, General Counsel &amp; Corporate Secretary and oversees the Solstice Global Security Organization (SGS). SGS is responsible for leading enterprise-wide information security strategy, architecture, and processes. Included within SGS’s scope is responsibility for infrastructure defense and security controls, performing vulnerability assessments, security incident management, and defining the parameters and standards of our cybersecurity and information security risk management program. Our cybersecurity and information security risk management program includes risk assessment and mitigation through a threat intelligence-driven approach, application controls, and security monitoring. The cybersecurity and information security risk management program leverages International Organization for Standardizations (ISO) 22301 standard for business continuity, ISO 27001 standard for information security management systems, and the National Institute of Standards and Technology (NIST) Cyber Security Framework (NIST 800-171) for measuring overall readiness to respond to cyber threats. SGS has more than 20 members, with expertise in: (i) application security, (ii) governance and compliance, (iii) program and vulnerability management, (iv) security engineering, (v) identity and access management, (vi) security operations and security assurance, (vii) threat intelligence and security architecture, (viii) incident response, (ix) physical security, (x) operational technology security and (xi) business resiliency. In addition, our SGS receives additional support from a third-party managed security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internal resources and third-party service providers for certain critical or key infrastructure, solutions, and services across our operations. We have a third-party risk management program that assesses risks from vendors and suppliers that provide, among other things, key information and supply chain services to the Company. In addition, the Company maintains business continuity and disaster recovery plans as well as cybersecurity insurance coverage. From time to time, we engage third parties to perform periodic, internal security reviews/audits, as well as assess the adequacy of our cybersecurity and information security risk management program. The most recent third-party assessment occurred in October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cybersecurity and information security awareness training programs for employees. Formal training on topics relating to the Company’s cybersecurity, data privacy and information security policies and procedures is mandatory for all employees with access to the Company’s network. Training will be administered and tracked through online learning modules. Improper or illegitimate use of the Company’s information system resources or violation of the Company’s information security policies and procedures may result in disciplinary action.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periodically engage in cyber crisis response table-top simulations to assess our ability to adapt to security-related threats. In the event an attack or other intrusion were to be successful, we have a response team of internal and external resources engaged and prepared to respond. To date, no risks from cybersecurity threats, including as a result of any previous cybersecurity incidents, materially affected or are reasonably likely to materially affect us, including our business strategy, results of operations or financial condition. For further discussion of the risks related to cybersecurity, see the risk factors discussed under Item 1A. “Risk Factors” of this Annual Report on Form 10-K.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Security Governance Council, which meets quarterly or as needed, is led by our Chief Information Security Officer, and includes members of senior executive leadership. Our Security Governance Council maintains a security program designed to monitor and track key security performance indicators and provides regular updates to the Audit Committee as part of its oversight. Our Chief Information Security Officer will provide updates directly to the full Board once a year and directly to the Audit Committee at least twice a year or as needed. These updates cover topics related to our information security program, cyber risks and risk management processes, including the status of significant cybersecurity incidents, the emerging threat landscape, and the status of projects to strengthen the Company’s information security posture.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Disclosure Committee receives updates as needed from the SGS regarding cybersecurity incidents. The Cybersecurity Disclosure Committee includes our Chief Information Security Officer and senior representatives from finance, controllership, internal audit, investor relations, tax, and legal. Our governance, risk and compliance team, which is part of our SGS, works in partnership with our internal audit team to review cybersecurity and IT-related internal controls as part of our overall internal controls process. The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Disclosure Committee informs the Security Governance Council and the Audit Committee of any cybersecurity incidents (if any) that have the potential to materially adversely impact the Company or our information systems.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Board is responsible for cybersecurity risk oversight and delegated such oversight to the Audit Committee. The Audit Committee, a committee comprised of independent Board members, two of whom have notable experience related to the oversight of cybersecurity issues, is responsible for oversight of the Company’s IT and cybersecurity risks and regularly reports to the Board on IT and cybersecurity matters. The Audit Committee oversees cybersecurity risks including those related to the protection of customer and employee data, trade secrets, and other proprietary information, the security of cloud data, persistent threats, and cybersecurity risks associated with the Company’s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headquartered in Morris Plains, New Jersey, U.S., and maintains a global network of production facilities and technical centers in cost-effective and strategic locations. We also use contract manufacturing and joint ventures to provide regional access or to lower manufacturing costs as appropriate.</w:t>
      </w:r>
    </w:p>
    <w:p>
      <w:pPr>
        <w:pStyle w:val="TextBody"/>
        <w:bidi w:val="0"/>
        <w:spacing w:lineRule="auto" w:line="288" w:before="0" w:after="180"/>
        <w:jc w:val="both"/>
        <w:rPr/>
      </w:pPr>
      <w:r>
        <w:rPr>
          <w:rFonts w:ascii="Times New Roman;serif" w:hAnsi="Times New Roman;serif"/>
          <w:b w:val="false"/>
          <w:color w:val="000000"/>
          <w:sz w:val="20"/>
        </w:rPr>
        <w:t>As of December 31, 2025, we directly owned or leased 45</w:t>
      </w:r>
      <w:r>
        <w:rPr>
          <w:color w:val="EE2724"/>
        </w:rPr>
        <w:t xml:space="preserve"> </w:t>
      </w:r>
      <w:r>
        <w:rPr>
          <w:rFonts w:ascii="Times New Roman;serif" w:hAnsi="Times New Roman;serif"/>
          <w:b w:val="false"/>
          <w:color w:val="000000"/>
          <w:sz w:val="20"/>
        </w:rPr>
        <w:t>properties, including manufacturing sites, R&amp;D facilities, land and corporate functions, several of which have multiple functions located on the same property. Most of the manufacturing facilities have R&amp;D capabilities and warehousing on site. The Company’s plants and equipment are maintained in good operating condition, and we believe our current production capacity for primary products is sufficient to meet foreseeable demand. Our global footprint enables us to serve customers locally. The following table shows the geographic distribution of our sites:</w:t>
      </w:r>
    </w:p>
    <w:tbl>
      <w:tblPr>
        <w:tblW w:w="5183" w:type="dxa"/>
        <w:jc w:val="left"/>
        <w:tblInd w:w="0" w:type="dxa"/>
        <w:tblLayout w:type="fixed"/>
        <w:tblCellMar>
          <w:top w:w="28" w:type="dxa"/>
          <w:left w:w="28" w:type="dxa"/>
          <w:bottom w:w="28" w:type="dxa"/>
          <w:right w:w="28" w:type="dxa"/>
        </w:tblCellMar>
      </w:tblPr>
      <w:tblGrid>
        <w:gridCol w:w="484"/>
        <w:gridCol w:w="425"/>
        <w:gridCol w:w="426"/>
        <w:gridCol w:w="260"/>
        <w:gridCol w:w="260"/>
        <w:gridCol w:w="261"/>
        <w:gridCol w:w="109"/>
        <w:gridCol w:w="109"/>
        <w:gridCol w:w="109"/>
        <w:gridCol w:w="319"/>
        <w:gridCol w:w="319"/>
        <w:gridCol w:w="321"/>
        <w:gridCol w:w="109"/>
        <w:gridCol w:w="109"/>
        <w:gridCol w:w="109"/>
        <w:gridCol w:w="195"/>
        <w:gridCol w:w="195"/>
        <w:gridCol w:w="196"/>
        <w:gridCol w:w="109"/>
        <w:gridCol w:w="109"/>
        <w:gridCol w:w="109"/>
        <w:gridCol w:w="158"/>
        <w:gridCol w:w="158"/>
        <w:gridCol w:w="225"/>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own most manufacturing sites and lease properties involving corporate functions. The following table shows the split of these sites (excluding joint venture operations): </w:t>
      </w:r>
    </w:p>
    <w:tbl>
      <w:tblPr>
        <w:tblW w:w="3417" w:type="dxa"/>
        <w:jc w:val="left"/>
        <w:tblInd w:w="0" w:type="dxa"/>
        <w:tblLayout w:type="fixed"/>
        <w:tblCellMar>
          <w:top w:w="28" w:type="dxa"/>
          <w:left w:w="28" w:type="dxa"/>
          <w:bottom w:w="28" w:type="dxa"/>
          <w:right w:w="28" w:type="dxa"/>
        </w:tblCellMar>
      </w:tblPr>
      <w:tblGrid>
        <w:gridCol w:w="364"/>
        <w:gridCol w:w="320"/>
        <w:gridCol w:w="321"/>
        <w:gridCol w:w="205"/>
        <w:gridCol w:w="205"/>
        <w:gridCol w:w="206"/>
        <w:gridCol w:w="109"/>
        <w:gridCol w:w="109"/>
        <w:gridCol w:w="109"/>
        <w:gridCol w:w="200"/>
        <w:gridCol w:w="200"/>
        <w:gridCol w:w="201"/>
        <w:gridCol w:w="109"/>
        <w:gridCol w:w="109"/>
        <w:gridCol w:w="109"/>
        <w:gridCol w:w="158"/>
        <w:gridCol w:w="158"/>
        <w:gridCol w:w="22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Operations</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part of the Spin-off, we entered into site-sharing and services agreements with Honeywell, under which we and Honeywell allow each other to use certain shared facilities. Refer to “Certain Relationships and Related Party Transactions—Agreements with Honeywell” in the Company’s final Information Statement, dated October 17, 2025 for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lawsuits, investigations, disputes and claims (some of which involve substantial amounts) arising out of the conduct of our business, including matters relating to commercial transactions, intellectual property and environmental, health and safety matters.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careful analysis of each matter with the assistance of outside legal counsel and, if applicable, other experts. See Note 20 - Commitments and Contingencies of the Notes to the Consolidated Financial Statements for a discussion of environmental, asbestos, and other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for Registrant’s Common Equity and Related Stockholder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ticker symbol “SOLS”. As of February 12, 2026, there were 27,350 holders of record of our common stock.</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announced that the Board declared a dividend of $0.075 per share of common stock outstanding, payable on March 10, 2026, to shareowners of record as of February 24, 2026. The Company currently expects quarterly dividends to continue in future periods, although they remain subject to determination and declaration by the Board and there can be no assurance that we will continue to pay any dividends. The payment of future dividends, if any, will be based on several factors, including, among other things, the Company’s financial performance, outlook, and liquidity. Additionally, the terms of our indebtedness limit our ability to pay cash dividends.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Performance Graph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graph presents the cumulative total shareowners return for our common stock compared with the Standard and Poor’s (“S&amp;P”) 500 Index and S&amp;P 500 Materials Index from October 30, 2025 (the first day our common stock began “regular way” trading on Nasdaq) through December 31, 2025. The graph assumes that $100 was invested on October 30, 2025 in each of our common stock, the S&amp;P 500 Index, and the S&amp;P 500 Materials Index, and that all dividends were reinvested.</w:t>
      </w:r>
    </w:p>
    <w:p>
      <w:pPr>
        <w:pStyle w:val="TextBody"/>
        <w:bidi w:val="0"/>
        <w:spacing w:before="0" w:after="180"/>
        <w:jc w:val="center"/>
        <w:rPr/>
      </w:pPr>
      <w:r>
        <w:rPr/>
        <w:drawing>
          <wp:inline distT="0" distB="0" distL="0" distR="0">
            <wp:extent cx="5838825" cy="3619500"/>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tbl>
      <w:tblPr>
        <w:tblW w:w="7912" w:type="dxa"/>
        <w:jc w:val="left"/>
        <w:tblInd w:w="0" w:type="dxa"/>
        <w:tblLayout w:type="fixed"/>
        <w:tblCellMar>
          <w:top w:w="28" w:type="dxa"/>
          <w:left w:w="28" w:type="dxa"/>
          <w:bottom w:w="28" w:type="dxa"/>
          <w:right w:w="28" w:type="dxa"/>
        </w:tblCellMar>
      </w:tblPr>
      <w:tblGrid>
        <w:gridCol w:w="391"/>
        <w:gridCol w:w="343"/>
        <w:gridCol w:w="345"/>
        <w:gridCol w:w="834"/>
        <w:gridCol w:w="834"/>
        <w:gridCol w:w="837"/>
        <w:gridCol w:w="109"/>
        <w:gridCol w:w="109"/>
        <w:gridCol w:w="109"/>
        <w:gridCol w:w="459"/>
        <w:gridCol w:w="459"/>
        <w:gridCol w:w="461"/>
        <w:gridCol w:w="109"/>
        <w:gridCol w:w="109"/>
        <w:gridCol w:w="109"/>
        <w:gridCol w:w="670"/>
        <w:gridCol w:w="670"/>
        <w:gridCol w:w="955"/>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Solstice Advanced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S&amp;P 500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S&amp;P 500 Materials Index</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10/30/2025</w:t>
            </w:r>
          </w:p>
        </w:tc>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11/5/2025</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11/12/2025</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11/19/2025</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11/26/2025</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12/3/2025</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12/10/2025</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12/17/2025</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12/24/2025</w:t>
            </w:r>
          </w:p>
        </w:tc>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12/31/2025</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both"/>
        <w:rPr/>
      </w:pPr>
      <w:r>
        <w:rPr>
          <w:rFonts w:ascii="Times New Roman;serif" w:hAnsi="Times New Roman;serif"/>
          <w:b w:val="false"/>
          <w:i/>
          <w:color w:val="000000"/>
          <w:sz w:val="20"/>
        </w:rPr>
        <w:t xml:space="preserve">This section should be read in conjunction with the audited Consolidated Financial Statements and related Notes included in this Annual Report on Form 10-K, as well as the information contained in the section of this report titled Item 1. “Business.” This section contains forward-looking statements. See the sections of this Annual Report on Form 10-K titled “Cautionary Statement Concerning Forward-Looking Statements” and Item 1A. “Risk Factors” for a discussion of the uncertainties, risks and assumptions associated with these forward-looking statements that could cause future results to differ materially from those reflected in this section. The financial information discussed below and included in this Annual Report on Form 10-K may not necessarily reflect what our financial condition, results of operations or cash flows would have been had we been a standalone company during the full periods presented or what our financial condition, results of operations and cash flows may be in the future. Discussions related to the financial condition and results of operations for the year ended December 31, 2024 in comparison to the year ended December 31, 2023 have been omitted. For such omitted discussions, refer to Management’s Discussion and Analysis of Financial Condition and Results of Operations included in the Company’s </w:t>
      </w:r>
      <w:r>
        <w:fldChar w:fldCharType="begin"/>
      </w:r>
      <w:r>
        <w:rPr>
          <w:rStyle w:val="InternetLink"/>
          <w:sz w:val="20"/>
          <w:i/>
          <w:u w:val="single"/>
          <w:b w:val="false"/>
          <w:rFonts w:ascii="Times New Roman;serif" w:hAnsi="Times New Roman;serif"/>
          <w:color w:val="0000FF"/>
        </w:rPr>
        <w:instrText xml:space="preserve"> HYPERLINK "https://www.sec.gov/Archives/edgar/data/2064953/000162828025045287/exhibit991-8xk.htm" \l "i26659a65039748f9adc191edd1733bec_910"</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final Information Statement, dated as of October 17, 2025</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(the “Information Statement”), attached as Exhibit 99.1 to our Current Report on Form 8-K filed with the Securities and Exchange Commission (the “SEC”) on October 17,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“Solstice Advanced Materials,” “we,” “us,” “our,” or the “Company”) is a global, differentiated advanced materials company and a leading global provider of refrigerants, blowing agents, conversion services for the nuclear energy sector, semiconductor materials, protective fibers and healthcare packaging. We operate through two segments, reported as Refrigerants &amp; Applied Solutions (“RAS”) and Electronic &amp; Specialty Materials (“ESM”). Our business is recognized as an industry innovator as well as a technology and quality leader, supported by some of the industry’s most well-known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RAS segment is a leading manufacturer of low global warming potential (“LGWP”) refrigerants, blowing agents, solvents, and aerosol materials, as well as conversion services for the nuclear energy sector. RAS serves the end markets of cooling, air conditioning and refrigeration (“HVAC/R”), automotive, nuclear energy, building and appliance insulation, and healthcare. RAS products include, among others, LGWP refrigerants, blowing agents, aerosol propellants, cleaning solvents, high-barrier pharmaceutical packaging materials and conversion services for nuclear energy providers. Our products are distributed and sold through well-known brands like Solstice, Genetron, and Aclar. 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 Our products are distributed and sold through well-known brands like Spectra, Fluka, and Hydranal.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2025, we served over 3,000 customers across a wide range of end markets in approximately 120 countries and territories. Our global presence included 20 manufacturing sites, four standalone research and development (“R&amp;D”) sites and approximately 4,100 employees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Spin-off from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2024, Honeywell International Inc. (“Honeywell”) announced its plan to spin-off its Advanced Materials business into an independent, U.S. publicly traded company through a pro rata distribution of all of the outstanding common shares of Solstice Advanced Materials to Honeywell shareowners (the “Spin-off”) that would be tax-free for U.S. federal tax purposes. On October 30, 2025, the Spin-off was consummated by means of a pro rata distribution (the “Distribution”), which was intended to be tax-free for U.S. federal tax purposes, of all of the issued and outstanding Solstice Advanced Materials common shares to Honeywell’s shareowners of record as of the close of business on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shares to Honeywell shareowners. Upon completion of the Distribution, on October 30, 2025, the Company commenced “regular way” trading as an independent public company under the ticker symbol “SOLS” on The Nasdaq Stock Market (“Nasdaq”). Following the Distribution, Honeywell does not own any Solstice Advanced Materials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Relationship with Honeywell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October 30, 2025 (“the “Spin-off date”), the accompanying combined financial statements as of December 31, 2024 and for the years ended December 31, 2024 and 2023 and the consolidated financial statements as of and for the year ended December 31, 2025 (the “financial statements”) of the Company were derived from the consolidated financial statements and accounting records of Honeywell and presented on a standalone basis as if the Company’s operations had been conducted independently from Honeywell. The accompanying financial statements for periods prior to the Spin-off date include all revenues and costs directly attributable to the Solstice Advanced Materials business and an allocation of expenses related to certain Honeywell corporate functions. These expenses were allocated to the Solstice Advanced Materials business based on a proportion of net sales. Solstice and Honeywell considered these allocations to be a reasonable reflection of the utilization of services or the benefits received. However, the allocations may not be indicative of the actual expense that would have been incurred had Solstice operated as an independent, standalone entity, nor are they indicative of future expenses of the Company. All significant intercompany balances between Solstice and Honeywell prior to the Spin-off were included within Net Parent investment on the accompanying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date, the Company’s financial statements have been prepared on a consolidated financial basis and include the accounts of the Company and those of its subsidiaries and any variable interest entities for which the Company is the primary beneficiary. All significant transactions between Solstice entities were eliminated and any transactions with Honeywell or its subsidiaries are now recorded as third-party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Spin-off, we also entered into certain agreements with Honeywell, including a Separation Agreement, a Transition Services Agreement, a Tax Matters Agreement, an Employee Matters Agreement, an Intellectual Property Cross-License Agreement, a Trademark License Agreement and an Accelerator License Agreement. Under the Transition Services Agreement, we generally expect to be able to utilize certain services from Honeywell for a transitional period following the Spin-off before we replace these services over time with services supplied either internally or by third parties. The expenses for the services may vary from the historical costs directly billed or allocated to us for the same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incurred, and expect to continue to incur certain costs in connection with our establishment as an independent public company (the “Transaction-related costs”). The Transaction-related costs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marketing development related to our brand and other matters. These Transaction-related costs are expected to continue through at least fiscal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Macroeconomic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continue to monitor macroeconomic and geopolitical developments amid heightened trade tensions, economic and trade policy uncertainty, and inflationary risks. Ongoing trade policy volatility—including new tariffs and, in some cases, subsequent rollbacks or suspensions—has and could continue to adversely impact global growth and contribute to inflationary pressures. Global conflicts, tariffs, labor disruptions and social unrest, and regulations continue to generate volatility in global markets and can contribute to supply chain vulnerabilities and pricing fluctuations. We remain proactive in our collaboration with suppliers to minimize shortages and mitigate supply chain and pricing volatility.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our strategies have helped minimize our exposure to these conditions. However, if we are not successful in sustaining or executing mitigation strategies, these macroeconomic conditions could have a material adverse effect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431"/>
        <w:gridCol w:w="613"/>
        <w:gridCol w:w="616"/>
        <w:gridCol w:w="211"/>
        <w:gridCol w:w="632"/>
        <w:gridCol w:w="271"/>
        <w:gridCol w:w="109"/>
        <w:gridCol w:w="109"/>
        <w:gridCol w:w="109"/>
        <w:gridCol w:w="211"/>
        <w:gridCol w:w="632"/>
        <w:gridCol w:w="271"/>
        <w:gridCol w:w="109"/>
        <w:gridCol w:w="167"/>
        <w:gridCol w:w="167"/>
        <w:gridCol w:w="167"/>
        <w:gridCol w:w="316"/>
        <w:gridCol w:w="207"/>
        <w:gridCol w:w="462"/>
        <w:gridCol w:w="167"/>
        <w:gridCol w:w="167"/>
        <w:gridCol w:w="167"/>
        <w:gridCol w:w="240"/>
        <w:gridCol w:w="241"/>
        <w:gridCol w:w="301"/>
        <w:gridCol w:w="361"/>
        <w:gridCol w:w="361"/>
        <w:gridCol w:w="362"/>
        <w:gridCol w:w="233"/>
        <w:gridCol w:w="233"/>
        <w:gridCol w:w="397"/>
        <w:gridCol w:w="165"/>
      </w:tblGrid>
      <w:tr>
        <w:trPr/>
        <w:tc>
          <w:tcPr>
            <w:tcW w:w="14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Years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1,306</w:t>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4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NM - not meaningful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factors contributing to year-over-year changes in our net sales for the year ended December 31, 2025.</w:t>
      </w:r>
    </w:p>
    <w:tbl>
      <w:tblPr>
        <w:tblW w:w="5504" w:type="dxa"/>
        <w:jc w:val="left"/>
        <w:tblInd w:w="0" w:type="dxa"/>
        <w:tblLayout w:type="fixed"/>
        <w:tblCellMar>
          <w:top w:w="28" w:type="dxa"/>
          <w:left w:w="28" w:type="dxa"/>
          <w:bottom w:w="28" w:type="dxa"/>
          <w:right w:w="28" w:type="dxa"/>
        </w:tblCellMar>
      </w:tblPr>
      <w:tblGrid>
        <w:gridCol w:w="1027"/>
        <w:gridCol w:w="901"/>
        <w:gridCol w:w="906"/>
        <w:gridCol w:w="515"/>
        <w:gridCol w:w="515"/>
        <w:gridCol w:w="1640"/>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net sales from prior period</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 change in net sales</w:t>
            </w:r>
            <w:r>
              <w:rPr>
                <w:color w:val="000000"/>
              </w:rPr>
              <w:t xml:space="preserve"> </w:t>
            </w:r>
          </w:p>
        </w:tc>
        <w:tc>
          <w:tcPr>
            <w:tcW w:w="10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discussion of Net sales by reportable segment can be found under the “Segment Results” section within this “Management’s Discussion and Analysis of Financial Condition and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increased by $116 million or 3% primarily due to favorable volume and pricing in refrigerants of $195 million, demand-driven volume increases in electronic materials of $39 million, as well as favorable pricing in research and performance chemicals of $16 million. The increase was partially offset by lower sales volumes in nuclear (alternative energy) services of $112 million attributed to certain large sales transactions which occurred in 2024 that did not recur in 2025, as well as lower volumes in healthcare packaging of $43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product and services sold increased by $172 million or 7% driven by volume increases in both the RAS and ESM segments, as well as the overall product mix in the RAS segment. These volume increases were partially offset by the volume declines in healthcare packaging.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$14 million or 17% driven by continued investment in innovation across the portfolio of offerings such as Spectra Y and next-gen molecules; Selling, general and administrative expenses increased by $29 million or 7% driven by an increase in employee-related expenses, primarily in connection with certain functions necessary to be an independent company; Transaction-related costs increased by $91 million driven by professional advisory services fees incurred in 2025 in connection with the Spin-off; Other expense (income) had a favorable change by $55 million driven primarily by a government reimbursement of certain past legal expenses and lower currency losses compared to last year; and Interest and other financial charges increased by $15 million or 114% driven by the issuance of debt in connection with the Spin-off in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$170 million. The effective tax rate in 2025 was higher than the effective tax rate in 2024 as a result of incremental frictional tax costs associated with the separation from Honeywell, which increased our effective tax rate by approximately 32% for the year ended December 31, 2025. See Note 5 - Income Taxes of the Notes to the Consolidated Financial Statements for additional information on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and report our operating results through two reportable segments: Refrigerants &amp; Applied Solutions (RAS) and Electronic &amp; Specialty Materials (ESM). The remainder of our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is the primary measure of segment profitability used by our Chief Operating Decision Maker. We define Segment Adjusted EBITDA as segment net income excluding income taxes, general corporate unallocated expense, depreciation, amortization, interest and other financial charges, remeasurement of foreign currencies, stock-based compensation expense, pension and other postretirement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Refrigerants &amp; Applied Solutions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180"/>
        <w:jc w:val="center"/>
        <w:rPr/>
      </w:pPr>
      <w:r>
        <w:rPr/>
        <w:drawing>
          <wp:inline distT="0" distB="0" distL="0" distR="0">
            <wp:extent cx="5838825" cy="3619500"/>
            <wp:effectExtent l="0" t="0" r="0" b="0"/>
            <wp:docPr id="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 descr=""/>
                    <pic:cNvPicPr>
                      <a:picLocks noChangeAspect="1" noChangeArrowheads="1"/>
                    </pic:cNvPicPr>
                  </pic:nvPicPr>
                  <pic:blipFill>
                    <a:blip r:embed="rId4"/>
                    <a:stretch>
                      <a:fillRect/>
                    </a:stretch>
                  </pic:blipFill>
                  <pic:spPr bwMode="auto">
                    <a:xfrm>
                      <a:off x="0" y="0"/>
                      <a:ext cx="5838825" cy="3619500"/>
                    </a:xfrm>
                    <a:prstGeom prst="rect">
                      <a:avLst/>
                    </a:prstGeom>
                  </pic:spPr>
                </pic:pic>
              </a:graphicData>
            </a:graphic>
          </wp:inline>
        </w:drawing>
      </w:r>
      <w:bookmarkStart w:id="2" w:name="i-3"/>
      <w:bookmarkEnd w:id="2"/>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RAS segment for the years ended December 31, 2025 and 2024.</w:t>
      </w:r>
    </w:p>
    <w:tbl>
      <w:tblPr>
        <w:tblW w:w="5915" w:type="dxa"/>
        <w:jc w:val="left"/>
        <w:tblInd w:w="0" w:type="dxa"/>
        <w:tblLayout w:type="fixed"/>
        <w:tblCellMar>
          <w:top w:w="28" w:type="dxa"/>
          <w:left w:w="28" w:type="dxa"/>
          <w:bottom w:w="28" w:type="dxa"/>
          <w:right w:w="28" w:type="dxa"/>
        </w:tblCellMar>
      </w:tblPr>
      <w:tblGrid>
        <w:gridCol w:w="1074"/>
        <w:gridCol w:w="946"/>
        <w:gridCol w:w="950"/>
        <w:gridCol w:w="224"/>
        <w:gridCol w:w="655"/>
        <w:gridCol w:w="288"/>
        <w:gridCol w:w="116"/>
        <w:gridCol w:w="116"/>
        <w:gridCol w:w="116"/>
        <w:gridCol w:w="224"/>
        <w:gridCol w:w="655"/>
        <w:gridCol w:w="288"/>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RAS segment’s net sales for the year ended December 31, 2025.</w:t>
      </w:r>
    </w:p>
    <w:tbl>
      <w:tblPr>
        <w:tblW w:w="6232" w:type="dxa"/>
        <w:jc w:val="left"/>
        <w:tblInd w:w="0" w:type="dxa"/>
        <w:tblLayout w:type="fixed"/>
        <w:tblCellMar>
          <w:top w:w="28" w:type="dxa"/>
          <w:left w:w="28" w:type="dxa"/>
          <w:bottom w:w="28" w:type="dxa"/>
          <w:right w:w="28" w:type="dxa"/>
        </w:tblCellMar>
      </w:tblPr>
      <w:tblGrid>
        <w:gridCol w:w="1212"/>
        <w:gridCol w:w="1065"/>
        <w:gridCol w:w="1068"/>
        <w:gridCol w:w="549"/>
        <w:gridCol w:w="549"/>
        <w:gridCol w:w="1526"/>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 change in net sales</w:t>
            </w:r>
            <w:r>
              <w:rPr>
                <w:color w:val="000000"/>
              </w:rPr>
              <w:t xml:space="preserve"> </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r>
              <w:rPr>
                <w:color w:val="000000"/>
              </w:rPr>
              <w:t xml:space="preserve"> </w:t>
            </w:r>
          </w:p>
        </w:tc>
        <w:tc>
          <w:tcPr>
            <w:tcW w:w="10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0" w:after="180"/>
        <w:ind w:left="0" w:right="0" w:hanging="360"/>
        <w:jc w:val="both"/>
        <w:rPr/>
      </w:pPr>
      <w:r>
        <w:rPr>
          <w:rFonts w:ascii="Times New Roman;serif" w:hAnsi="Times New Roman;serif"/>
          <w:b w:val="false"/>
          <w:color w:val="000000"/>
          <w:sz w:val="16"/>
        </w:rPr>
        <w:t>(1)See “Management’s Discussion and Analysis of Financial Condition and Results of Operations</w:t>
      </w:r>
      <w:r>
        <w:rPr>
          <w:color w:val="000000"/>
        </w:rPr>
        <w:t>—</w:t>
      </w:r>
      <w:r>
        <w:rPr>
          <w:rFonts w:ascii="Times New Roman;serif" w:hAnsi="Times New Roman;serif"/>
          <w:b w:val="false"/>
          <w:color w:val="000000"/>
          <w:sz w:val="16"/>
        </w:rPr>
        <w:t>Non-GAAP Financial Measures” for definition of Organic sales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RAS net sales increased by $68 million or 3% due to volume growth and favorable pricing in refrigerants, partially offset by a reduction in our nuclear (alternative energy) services offering attributed to large sales transactions which occurred in 2024 that did not recur in 2025, as well as volume reductions in healthcare packaging.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$77 million or 7% and Segment Adjusted EBITDA margin decreased 4% primarily driven by refrigerants product mix as a result of the ongoing transition to LGWP refrigerants, and volume declines in healthcare packaging due to anticipated customer destocking.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i/>
          <w:color w:val="000000"/>
          <w:sz w:val="20"/>
        </w:rPr>
        <w:t>Electronic &amp; Specialty Materials</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180"/>
        <w:jc w:val="center"/>
        <w:rPr/>
      </w:pPr>
      <w:r>
        <w:rPr/>
        <w:drawing>
          <wp:inline distT="0" distB="0" distL="0" distR="0">
            <wp:extent cx="5838825" cy="3619500"/>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5"/>
                    <a:stretch>
                      <a:fillRect/>
                    </a:stretch>
                  </pic:blipFill>
                  <pic:spPr bwMode="auto">
                    <a:xfrm>
                      <a:off x="0" y="0"/>
                      <a:ext cx="5838825" cy="3619500"/>
                    </a:xfrm>
                    <a:prstGeom prst="rect">
                      <a:avLst/>
                    </a:prstGeom>
                  </pic:spPr>
                </pic:pic>
              </a:graphicData>
            </a:graphic>
          </wp:inline>
        </w:drawing>
      </w:r>
      <w:bookmarkStart w:id="3" w:name="i-4"/>
      <w:bookmarkEnd w:id="3"/>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ESM segment for the years ended December 31, 2025 and 2024.</w:t>
      </w:r>
    </w:p>
    <w:tbl>
      <w:tblPr>
        <w:tblW w:w="5915" w:type="dxa"/>
        <w:jc w:val="left"/>
        <w:tblInd w:w="0" w:type="dxa"/>
        <w:tblLayout w:type="fixed"/>
        <w:tblCellMar>
          <w:top w:w="28" w:type="dxa"/>
          <w:left w:w="28" w:type="dxa"/>
          <w:bottom w:w="28" w:type="dxa"/>
          <w:right w:w="28" w:type="dxa"/>
        </w:tblCellMar>
      </w:tblPr>
      <w:tblGrid>
        <w:gridCol w:w="1074"/>
        <w:gridCol w:w="946"/>
        <w:gridCol w:w="950"/>
        <w:gridCol w:w="224"/>
        <w:gridCol w:w="655"/>
        <w:gridCol w:w="288"/>
        <w:gridCol w:w="116"/>
        <w:gridCol w:w="116"/>
        <w:gridCol w:w="116"/>
        <w:gridCol w:w="224"/>
        <w:gridCol w:w="655"/>
        <w:gridCol w:w="288"/>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reported and organic net sales growth in our ESM segment’s net sales for the year ended December 31, 2025.</w:t>
      </w:r>
    </w:p>
    <w:tbl>
      <w:tblPr>
        <w:tblW w:w="6232" w:type="dxa"/>
        <w:jc w:val="left"/>
        <w:tblInd w:w="0" w:type="dxa"/>
        <w:tblLayout w:type="fixed"/>
        <w:tblCellMar>
          <w:top w:w="28" w:type="dxa"/>
          <w:left w:w="28" w:type="dxa"/>
          <w:bottom w:w="28" w:type="dxa"/>
          <w:right w:w="28" w:type="dxa"/>
        </w:tblCellMar>
      </w:tblPr>
      <w:tblGrid>
        <w:gridCol w:w="1212"/>
        <w:gridCol w:w="1065"/>
        <w:gridCol w:w="1068"/>
        <w:gridCol w:w="549"/>
        <w:gridCol w:w="549"/>
        <w:gridCol w:w="1526"/>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 change in net sales</w:t>
            </w:r>
            <w:r>
              <w:rPr>
                <w:color w:val="000000"/>
              </w:rPr>
              <w:t xml:space="preserve"> </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r>
              <w:rPr>
                <w:color w:val="000000"/>
              </w:rPr>
              <w:t xml:space="preserve"> </w:t>
            </w:r>
          </w:p>
        </w:tc>
        <w:tc>
          <w:tcPr>
            <w:tcW w:w="10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“Management’s Discussion and Analysis of Financial Condition and Results of Operations—Non-GAAP Financial Measures” for definition of Organic sales percentage.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compared with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net sales increased by $48 million or 5%. The increase was attributable to demand-driven volume increases in electronic materials, as well as favorable pricing in our research and performance chemicals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Segment Adjusted EBITDA increased by $2 million or 1% and Segment Adjusted EBITDA margin decreased 1%, primarily driven by lower pricing with certain customers in the electronic materials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Corporate and All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Corporate and All Other costs increased by $23 million or 14% for the year ended December 31, 2025 due to incremental ongoing costs incurred as part of the transition to operate as an independent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to supplement the financial measures prepared in accordance with U.S. GAAP. These include (1) Organic sales percentage, (2) Adjusted EBITDA and (3)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meaningful measure of its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Organic sales percentage</w:t>
      </w:r>
      <w:r>
        <w:rPr>
          <w:rFonts w:ascii="Times New Roman;serif" w:hAnsi="Times New Roman;serif"/>
          <w:b w:val="false"/>
          <w:color w:val="000000"/>
          <w:sz w:val="20"/>
        </w:rPr>
        <w:t>: The Company defines organic sales percentage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tbl>
      <w:tblPr>
        <w:tblW w:w="8965" w:type="dxa"/>
        <w:jc w:val="left"/>
        <w:tblInd w:w="0" w:type="dxa"/>
        <w:tblLayout w:type="fixed"/>
        <w:tblCellMar>
          <w:top w:w="28" w:type="dxa"/>
          <w:left w:w="28" w:type="dxa"/>
          <w:bottom w:w="28" w:type="dxa"/>
          <w:right w:w="28" w:type="dxa"/>
        </w:tblCellMar>
      </w:tblPr>
      <w:tblGrid>
        <w:gridCol w:w="1211"/>
        <w:gridCol w:w="1065"/>
        <w:gridCol w:w="1068"/>
        <w:gridCol w:w="549"/>
        <w:gridCol w:w="549"/>
        <w:gridCol w:w="1526"/>
        <w:gridCol w:w="109"/>
        <w:gridCol w:w="109"/>
        <w:gridCol w:w="109"/>
        <w:gridCol w:w="515"/>
        <w:gridCol w:w="515"/>
        <w:gridCol w:w="1640"/>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 and other, net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sales percentage</w:t>
            </w:r>
          </w:p>
        </w:tc>
        <w:tc>
          <w:tcPr>
            <w:tcW w:w="10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Adjusted EBITDA and Adjusted EBITDA margin</w:t>
      </w:r>
      <w:r>
        <w:rPr>
          <w:rFonts w:ascii="Times New Roman;serif" w:hAnsi="Times New Roman;serif"/>
          <w:b w:val="false"/>
          <w:color w:val="000000"/>
          <w:sz w:val="20"/>
        </w:rPr>
        <w:t>: The Company defines Adjusted EBITDA as net income excluding income taxes, depreciation, amortization, interest and other financial charges, remeasurement of foreign currencies, stock-based compensation expense, pension and other postretirement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The Company defines Adjusted EBITDA margin as Adjusted EBITDA divided by Net sales. We believe these measures are useful to investors as they provide greater transparency with respect to supplemental information used by management in its financial and operational decision making, as well as understanding ongoing operating trends. The table below reconciles Net income, the most directly comparable U.S. GAAP measure, to the Company’s non-GAAP measure of Adjusted EBITDA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602"/>
        <w:gridCol w:w="1036"/>
        <w:gridCol w:w="1040"/>
        <w:gridCol w:w="335"/>
        <w:gridCol w:w="191"/>
        <w:gridCol w:w="420"/>
        <w:gridCol w:w="109"/>
        <w:gridCol w:w="109"/>
        <w:gridCol w:w="109"/>
        <w:gridCol w:w="331"/>
        <w:gridCol w:w="331"/>
        <w:gridCol w:w="921"/>
        <w:gridCol w:w="109"/>
        <w:gridCol w:w="109"/>
        <w:gridCol w:w="109"/>
        <w:gridCol w:w="335"/>
        <w:gridCol w:w="191"/>
        <w:gridCol w:w="420"/>
        <w:gridCol w:w="109"/>
        <w:gridCol w:w="109"/>
        <w:gridCol w:w="109"/>
        <w:gridCol w:w="331"/>
        <w:gridCol w:w="331"/>
        <w:gridCol w:w="921"/>
        <w:gridCol w:w="109"/>
        <w:gridCol w:w="109"/>
        <w:gridCol w:w="109"/>
        <w:gridCol w:w="161"/>
      </w:tblGrid>
      <w:tr>
        <w:trPr/>
        <w:tc>
          <w:tcPr>
            <w:tcW w:w="160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488" w:type="dxa"/>
            <w:gridSpan w:val="4"/>
            <w:tcBorders/>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 (GAAP)</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(Non-GAAP)</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w:t>
            </w: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pensions expenses, and certain legal costs, net of recoveries.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the Company has generated positive cash flows from operations. </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consummation of the Spin-off, the Company was dependent upon Honeywell for all of its working capital and financing requirements. A substantial portion of the Company’s cash accounts were cleared to Honeywell regularly at Honeywell’s discretion, and Honeywell funded the Company’s operating and investing activities as needed. This arrangement is not reflective of the manner in which the Company would have been able to finance its operations had it been a standalone business separate from Honeywell during the periods presented. Transfers of cash between Honeywell and the Company are included within Net transfers to Parent on the Consolidated Statements of Cash Flows and the Consolidated Statements of Equity included elsewhere in this Annual Report on Form 10-K. These arrangements ceased in conjunction with the Spin-off.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Spin-off, we entered into certain third-party debt arrangements, as described below, and as of October 30, 2025, we no longer participate in Honeywell’s centralized cash management program. Our liquidity after the Spin-off depends on our operating cash flows, available cash balances, access to our credit facilities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ability to access capital markets. We believe that our existing cash and cash equivalents, combined with our expected operating cash flows and available credit facilities (as discussed below) will be sufficient to meet our anticipated cash needs for at least the next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The proceeds of the Notes were held in escrow pending completion of the Spin-off, and such proceeds were released from escrow on October 29, 2025 in connection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Notes are senior unsecured obligations of the Company and are, or will be, guaranteed on a senior unsecured basis by each of the Company’s existing and future domestic subsidiaries that guarantee the Company’s Senior Credit Facilities (described below). The Notes are subject to customary affirmative and negative covenants that limit the Company’s ability and the ability of its restricted subsidiaries to incur or guarantee additional indebtedness; pay dividends or distributions on, or redeem or repurchase, capital stock and make other restricted payments; make investments; consummate certain asset sales; engage in certain transactions with affiliates; grant or assume certain liens; and consolidate, merge or transfer all or substantially all of the Company’s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obligations under the Senior Credit Facilities are unconditionally guaranteed, jointly and severally, by: (a) the Company and (b) all direct and indirect wholly owned subsidiaries of the Company that are organized under the laws of the United States, any state thereof or the District of Columbia, subject to certain exceptions and limitations (collectively, the “Guarantors”). Subject to certain limitations, the Senior Credit Facilities are secured on a first priority basis by: (x) a perfected security interest in the equity interests of each direct subsidiary of the Company and each Guarantor under the Senior Credit Facilities (subject to certain customary exceptions) and (y) perfected security interests in, and mortgages on, substantially all tangible and intangible personal property and material real property of the Company and each of the Guarantors under the Senior Credit Facilities, subject, in each case, to certain exceptions.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under the Credit Agreement accrue interest at the Adjusted Term SOFR rate (“SOFR”) (which has a 0% floor) plus a SOFR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applicable margin for the Term Loan Facility is 1.75% per annum (for SOFR loans). The applicable margin for the Revolving Credit Facility varies from 1.50% per annum to 2.00% per annum (for SOFR loans) based on the Company’s Consolidated First Lien Leverage Ratio (as defined in the Credit Agreement). Accordingly, the interest rates for the Credit Facilities will fluctuate during the term of the Credit Agreement based on changes in the SOFR or future changes in the Company’s Consolidated First Lien Leverage Ratio. Interest payments with respect to the Credit Facilities are required at the end of each interest period (for SOFR loans) or, if the duration of the applicable interest period exceeds three months, then every three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outstanding borrowings under the Revolving Credit Facility, the Company is required to pay a quarterly commitment fee based on the unused portion of the Revolving Credit Facility, which is determined by the Company’s Consolidated First Lien Leverage Ratio and ranges from 0.25% to 0.35%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a 1.00% prepayment premium in connection with certain repricing transactions with respect to the Term Loan 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borrowings under the Revolving Credit Facility, the interest rate on the Term Loan Facility was 5.59% (three month SOFR plus 1.75%), and there were $270 million of unused letters of credit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that, among other things, limit the Company and its subsidiaries’ ability to incur additional indebtedness or liens, to dispose of assets, to make certain fundamental changes, enter into restrictive agreements, to make certain investments, loans, advances, guarantees and acquisitions, to prepay certain indebtedness and to pay dividends, to make other distributions or redemptions/repurchases, in respect of the Company and its subsidiaries’ equity interests, to engage in transactions with affiliates or amend certain material documents. In addition, the Credit Agreement also contains financial covenants for the benefit of the lenders under the Revolving Credit Facility requiring the maintenance of a Consolidated First Lien Leverage Ratio of not greater than 3.50 to 1.00 (with a temporary step-up following a material acquisition to 4.00 to 1.00), and a Consolidated Interest Coverage Ratio (as defined in the Credit Agreement) of not less than 2.75 to 1.00. As of December 31, 2025, we were in compliance with all of the financial covenants required by the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Sidecar LC Facilities provide for maintenance fees which accrue per annum on the aggregate amount of any letter of credit outstanding thereunder, payable quarterly, and fees which range from 0.60% to 0.95%, depending on the issuer and the type of letter of credit. In addition to the maintenance fee, Sidecar LC Facilities also provide for each issuer’s standard fees with respect to the issuance, amendment, renewal or extension of any letter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Summarized cash flow information for the years ended December 31, 2025 and 2024 is as follows:</w:t>
      </w:r>
    </w:p>
    <w:tbl>
      <w:tblPr>
        <w:tblW w:w="6411" w:type="dxa"/>
        <w:jc w:val="left"/>
        <w:tblInd w:w="0" w:type="dxa"/>
        <w:tblLayout w:type="fixed"/>
        <w:tblCellMar>
          <w:top w:w="28" w:type="dxa"/>
          <w:left w:w="28" w:type="dxa"/>
          <w:bottom w:w="28" w:type="dxa"/>
          <w:right w:w="28" w:type="dxa"/>
        </w:tblCellMar>
      </w:tblPr>
      <w:tblGrid>
        <w:gridCol w:w="1252"/>
        <w:gridCol w:w="1104"/>
        <w:gridCol w:w="1108"/>
        <w:gridCol w:w="298"/>
        <w:gridCol w:w="659"/>
        <w:gridCol w:w="154"/>
        <w:gridCol w:w="154"/>
        <w:gridCol w:w="154"/>
        <w:gridCol w:w="154"/>
        <w:gridCol w:w="298"/>
        <w:gridCol w:w="659"/>
        <w:gridCol w:w="154"/>
        <w:gridCol w:w="109"/>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$455 million for the year ended December 31, 2025 compared to $842 million for the same period in 2024. The decrease was due to lower net income and greater working capital outflow, in particular due to higher inventories and accounts receivable, partially offset by increased payables related to purchased services and direct material spend and timing, increased accruals due to timing of certain corporate expenses, as well as inflows of deferred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$330 million for the year ended December 31, 2025 compared to $298 million for the same period in 2024. The increase was driven by higher capital expenditures, primarily within our ESM segment, partially offset by proceeds from the sale of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$235 million for the year ended December 31, 2025 compared to $453 million for the same period in 2024. The decrease was driven by proceeds from the issuance of our debt, partially offset by a dividend to Honeywell and an increase in net transfers to Honeywell for the period prior to the Spin-off.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and Cash Requirements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Summary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our cash and cash equivalents totaled $534 million and $661 million, respectively. We believe that we have sufficient liquidity based on our current cash position, expected operating cash flows and availability under our Credit Facilities to meet our expected payments related to our cash requirements for at least the next 12 months.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and Cash Equivalents Held by Foreign Subsidiaries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held by Solstice Advanced Materials’ foreign subsidiaries were $363 million and $647 million as of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capital expenditures primarily consist of continuing investments to maintain the safety and reliability of our existing operations, additional investments in new and existing facilities to support new production introduction and capacity expansion to grow our business. For the years ended December 31, 2025, 2024 and 2023, our capital expenditures incurred were $408 million, $296 million and $299 million, respectively. For the year ending December 31, 2026, we expect that our capital expenditures will be between $400 million and $425 million. The increase in 2025 and expected 2026 capital expenditures was and is expected to be primarily driven by projects to support new products and solutions for our electronic materials and advanced fiber offerings.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Honeywell agreed to provide us support through certain parent company performance guarantees that will remain in place during a transition period of up to 24 months following the Spin-off and as guarantor of or obligor for certain letters of credit and other credit support instruments that have been issued on our behalf during a transition period of up to 12 months following the Spin-off.</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Supply Chain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agreements with unaffiliated third-party financial institutions that offer voluntary supply chain financing (“SCF”) programs to our suppliers. The SCF programs enable suppliers, at their sole discretion, to sell their receivables to third-party financial institutions in order to receive payment on receivables earlier than the negotiated commercial terms between us and our suppliers. We had $98 million and $96 million outstanding obligations related to our SCF programs as of December 31, 2025 and December 31, 2024, respectively. See Note 2 - Summary of Significant Accounting Policies of the Notes to the audited Consolidated Financial Statements for additional information on our SCF agreements.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Contractual Obligations and 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engage in significant off-balance sheet financial arrangements that have or are likely to have a material current or future effect on our financial condition, changes in financial condition, net sales or expenses, results of operations, liquidity, capital expenditures or capital resources. In the normal course of business, we enter into various contractual obligations that impact, or could impact, the cash requirements of our operations. As of December 31, 2025, we had short-term (2026), mid-term (2027 and 2028), and long-term (2029 and thereafter) purchase obligations of $696 million, $848 million, and $248 million, respectively. We also had material future contractual obligations related to product loans, leases, debt, pension, and environmental liabilities. See Note 2 - Summary of Significant Accounting Policies, Note 10 - Leases, Note 11 - Debt, Note 18 - Postretirement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Plans, and Note 20 - Commitments and Contingencies of the Notes to the audited Consolidated Financial Statements for additional information. </w:t>
      </w:r>
    </w:p>
    <w:p>
      <w:pPr>
        <w:pStyle w:val="TextBody"/>
        <w:bidi w:val="0"/>
        <w:spacing w:lineRule="auto" w:line="288" w:before="0" w:after="180"/>
        <w:jc w:val="both"/>
        <w:rPr/>
      </w:pPr>
      <w:r>
        <w:rPr>
          <w:rFonts w:ascii="Times New Roman;serif" w:hAnsi="Times New Roman;serif"/>
          <w:b w:val="false"/>
          <w:color w:val="000000"/>
          <w:sz w:val="20"/>
        </w:rPr>
        <w:t>The above discussion excludes any future payments to decommission our AES Facility. We estimate our asset retirement obligation based on the estimated useful lives of the underlying asset, third-party estimates as to the cost to decommission the asset in the future, and federal and state regulatory requirements; however, revisions to the liability could occur due to changes in the estimated useful lives of the underlying assets, estimated dates of decommissioning, changes in decommissioning costs, changes in federal or state regulatory guidance on the decommissioning of such facilities, or other changes in estimates. See Note 20 - Commitments and Contingencies</w:t>
      </w:r>
      <w:r>
        <w:rPr>
          <w:color w:val="000000"/>
        </w:rPr>
        <w:t xml:space="preserve">— </w:t>
      </w:r>
      <w:r>
        <w:rPr>
          <w:rFonts w:ascii="Times New Roman;serif" w:hAnsi="Times New Roman;serif"/>
          <w:b w:val="false"/>
          <w:color w:val="000000"/>
          <w:sz w:val="20"/>
        </w:rPr>
        <w:t>Asset Retirement Obligations of the Notes to the audited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accordance with GAAP is based on the selection and application of accounting policies that require us to make significant estimates and assumptions about the effects of matters that are inherently uncertain. Certain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pStyle w:val="TextBody"/>
        <w:bidi w:val="0"/>
        <w:spacing w:lineRule="auto" w:line="288" w:before="0" w:after="180"/>
        <w:jc w:val="both"/>
        <w:rPr/>
      </w:pPr>
      <w:r>
        <w:rPr>
          <w:rFonts w:ascii="Times New Roman;serif" w:hAnsi="Times New Roman;serif"/>
          <w:b/>
          <w:i/>
          <w:color w:val="000000"/>
          <w:sz w:val="20"/>
        </w:rPr>
        <w:t xml:space="preserve">Income Taxes </w:t>
      </w:r>
      <w:r>
        <w:rPr>
          <w:color w:val="000000"/>
        </w:rPr>
        <w:t xml:space="preserve">– </w:t>
      </w:r>
      <w:r>
        <w:rPr>
          <w:rFonts w:ascii="Times New Roman;serif" w:hAnsi="Times New Roman;serif"/>
          <w:b w:val="false"/>
          <w:color w:val="000000"/>
          <w:sz w:val="20"/>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2 - Summary of Significant Accounting Policies of the Notes to the audited Consolidated Financial Statements for further discussion of additional income tax policies.</w:t>
      </w:r>
    </w:p>
    <w:p>
      <w:pPr>
        <w:pStyle w:val="TextBody"/>
        <w:bidi w:val="0"/>
        <w:spacing w:lineRule="auto" w:line="288" w:before="0" w:after="180"/>
        <w:jc w:val="both"/>
        <w:rPr/>
      </w:pPr>
      <w:r>
        <w:rPr>
          <w:rFonts w:ascii="Times New Roman;serif" w:hAnsi="Times New Roman;serif"/>
          <w:b/>
          <w:i/>
          <w:color w:val="000000"/>
          <w:sz w:val="20"/>
        </w:rPr>
        <w:t>Goodwill</w:t>
      </w:r>
      <w:r>
        <w:rPr>
          <w:color w:val="000000"/>
        </w:rPr>
        <w:t xml:space="preserve"> – </w:t>
      </w:r>
      <w:r>
        <w:rPr>
          <w:rFonts w:ascii="Times New Roman;serif" w:hAnsi="Times New Roman;serif"/>
          <w:b w:val="false"/>
          <w:color w:val="000000"/>
          <w:sz w:val="20"/>
        </w:rPr>
        <w:t>The Company’s business combinations have resulted in the recognition of goodwill. We engage independent third-party valuation specialists for assistance in the allocation of the purchase price and determination of the fair value of goodwill, which involves the use of accounting estimates and assumptions based on information available at or near the acquisition date. We believe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forward-looking and could be affected by future economic and market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Goodwill is subject to annual impairment testing as of October 1, or more frequently, if necessary. In testing goodwill, the fair value is estimated utilizing a discounted cash flow approach, including consideration of the Company’s strategic and annual operating plans, and adjusted for terminal value assumptions. These impairment tests use estimates and assumptions. If actual results differ from such estimates and assumptions it could materially impact our financial condition or operating performance. To address this uncertainty, we perform sensitivity analyses on key estimates and assumptions. Once the fair value is determined, if the carrying amount exceeds the fair value, it is impaired. Any impairment is measured as the difference between the carrying amount and its fair value.</w:t>
      </w:r>
    </w:p>
    <w:p>
      <w:pPr>
        <w:pStyle w:val="TextBody"/>
        <w:bidi w:val="0"/>
        <w:spacing w:lineRule="auto" w:line="288" w:before="0" w:after="180"/>
        <w:jc w:val="both"/>
        <w:rPr/>
      </w:pPr>
      <w:r>
        <w:rPr>
          <w:rFonts w:ascii="Times New Roman;serif" w:hAnsi="Times New Roman;serif"/>
          <w:b w:val="false"/>
          <w:color w:val="000000"/>
          <w:sz w:val="20"/>
        </w:rPr>
        <w:t xml:space="preserve">We perform annual goodwill impairment tests for our four reporting units using a quantitative assessment. Over the past three fiscal years, there have been no impairments. As of October 1, 2025, the fair value of each reporting unit was greater than </w:t>
      </w:r>
      <w:r>
        <w:rPr>
          <w:rFonts w:ascii="Times New Roman;serif" w:hAnsi="Times New Roman;serif"/>
          <w:b w:val="false"/>
          <w:color w:val="000000"/>
          <w:sz w:val="20"/>
          <w:shd w:fill="FFFFFF" w:val="clear"/>
        </w:rPr>
        <w:t>120%</w:t>
      </w:r>
      <w:r>
        <w:rPr>
          <w:color w:val="000000"/>
        </w:rPr>
        <w:t xml:space="preserve"> </w:t>
      </w:r>
      <w:r>
        <w:rPr>
          <w:rFonts w:ascii="Times New Roman;serif" w:hAnsi="Times New Roman;serif"/>
          <w:b w:val="false"/>
          <w:color w:val="000000"/>
          <w:sz w:val="20"/>
        </w:rPr>
        <w:t>of their respective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pPr>
      <w:r>
        <w:rPr>
          <w:rFonts w:ascii="Times New Roman;serif" w:hAnsi="Times New Roman;serif"/>
          <w:b/>
          <w:i/>
          <w:color w:val="000000"/>
          <w:sz w:val="20"/>
        </w:rPr>
        <w:t xml:space="preserve">Defined Benefit Pension Plans </w:t>
      </w:r>
      <w:r>
        <w:rPr>
          <w:color w:val="000000"/>
        </w:rPr>
        <w:t xml:space="preserve">– </w:t>
      </w:r>
      <w:r>
        <w:rPr>
          <w:rFonts w:ascii="Times New Roman;serif" w:hAnsi="Times New Roman;serif"/>
          <w:b w:val="false"/>
          <w:color w:val="000000"/>
          <w:sz w:val="20"/>
        </w:rPr>
        <w:t>For periods prior to the Spin-off, certain employees of the Solstice Advanced Materials business participated in U.S. pension plans sponsored by Honeywell. Following the Spin-off, the Company sponsors a defined benefit pension plan for these U.S. employees, with benefit obligations and corresponding assets transferred, as part of the Spin-off, from the Honeywell plans in which these employees participated. For all periods presented, we also sponsor unfunded defined benefit pension plans for certain non-US employees, primarily in Germany. For financial reporting purposes, 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an amortization of unrecognized gain or loss when they exceed 10% of the greater of the fair value of plan assets or the plans’ projected benefit obligation (the corridor) and would be amortized over the average remaining working lifetime of plan participants.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key assumptions used in developing our net periodic pension (income) expense for our pension plans included the following: </w:t>
      </w:r>
    </w:p>
    <w:tbl>
      <w:tblPr>
        <w:tblW w:w="10205" w:type="dxa"/>
        <w:jc w:val="left"/>
        <w:tblInd w:w="0" w:type="dxa"/>
        <w:tblLayout w:type="fixed"/>
        <w:tblCellMar>
          <w:top w:w="28" w:type="dxa"/>
          <w:left w:w="28" w:type="dxa"/>
          <w:bottom w:w="28" w:type="dxa"/>
          <w:right w:w="28" w:type="dxa"/>
        </w:tblCellMar>
      </w:tblPr>
      <w:tblGrid>
        <w:gridCol w:w="2100"/>
        <w:gridCol w:w="1849"/>
        <w:gridCol w:w="1856"/>
        <w:gridCol w:w="203"/>
        <w:gridCol w:w="203"/>
        <w:gridCol w:w="499"/>
        <w:gridCol w:w="109"/>
        <w:gridCol w:w="109"/>
        <w:gridCol w:w="109"/>
        <w:gridCol w:w="109"/>
        <w:gridCol w:w="109"/>
        <w:gridCol w:w="109"/>
        <w:gridCol w:w="109"/>
        <w:gridCol w:w="203"/>
        <w:gridCol w:w="203"/>
        <w:gridCol w:w="271"/>
        <w:gridCol w:w="109"/>
        <w:gridCol w:w="109"/>
        <w:gridCol w:w="109"/>
        <w:gridCol w:w="203"/>
        <w:gridCol w:w="203"/>
        <w:gridCol w:w="271"/>
        <w:gridCol w:w="109"/>
        <w:gridCol w:w="109"/>
        <w:gridCol w:w="109"/>
        <w:gridCol w:w="203"/>
        <w:gridCol w:w="203"/>
        <w:gridCol w:w="318"/>
      </w:tblGrid>
      <w:tr>
        <w:trPr/>
        <w:tc>
          <w:tcPr>
            <w:tcW w:w="210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Plans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Non-U.S. Plans</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Actuarial assumptions used to determine benefit obligations</w:t>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Salary scale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Actuarial assumptions used to determine net periodic benefit income</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benefit obligation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service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interest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rate of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Salary scale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1.Prior to the Spin-off, certain of the Company’s U.S. employees participated in defined benefit plans which were sponsored by Honeywell. During this period, the Company did not record assets or liabilities to recognize the funded status of these plans because Solstice was not the legal sponsor of these plans. In conjunction with the Spin-off, the benefit obligations for these employees, and a proportionate share of the related Honeywell plans’ assets and liabilities, were transferred to a newly formed U.S. defined benefit pension plan sponsored by the Company. Therefore prior period amounts are not applicable for all U.S. Plan information presented within this footnote.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5.3% discount rate and a 4.1% discount rate for our U.S. Plans and Non-U.S. Plans, respectively, to determine benefit obligations as of December 31, 2025, reflecting an increase in the market interest rate environment since the prior year-end.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Pension (income) expense for our defined benefit plans is not expected to be significant in 2026.</w:t>
      </w:r>
    </w:p>
    <w:p>
      <w:pPr>
        <w:pStyle w:val="TextBody"/>
        <w:bidi w:val="0"/>
        <w:spacing w:lineRule="auto" w:line="288" w:before="0" w:after="180"/>
        <w:jc w:val="both"/>
        <w:rPr/>
      </w:pPr>
      <w:r>
        <w:rPr>
          <w:rFonts w:ascii="Times New Roman;serif" w:hAnsi="Times New Roman;serif"/>
          <w:b/>
          <w:i/>
          <w:color w:val="000000"/>
          <w:sz w:val="20"/>
        </w:rPr>
        <w:t xml:space="preserve">Contingent Liabilities </w:t>
      </w:r>
      <w:r>
        <w:rPr>
          <w:color w:val="000000"/>
        </w:rPr>
        <w:t xml:space="preserve">– </w:t>
      </w:r>
      <w:r>
        <w:rPr>
          <w:rFonts w:ascii="Times New Roman;serif" w:hAnsi="Times New Roman;serif"/>
          <w:b w:val="false"/>
          <w:color w:val="000000"/>
          <w:sz w:val="20"/>
        </w:rPr>
        <w:t xml:space="preserve">We are subject to a number of lawsuits, investigations, and claims (some of which involve substantial dollar amounts) arising out of the conduct of our business operations or those of previously owned entities, including matters relating to commercial transactions, government contracts, product liability,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outcome of negotiations and the impact of evidentiary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Because most contingencies are resolved over long periods of time, liabilities may change in the future due to new developments (including new discovery of facts, changes in legislation, and outcomes of similar cases through the judicial system) or changes in assumptions. </w:t>
      </w:r>
    </w:p>
    <w:p>
      <w:pPr>
        <w:pStyle w:val="TextBody"/>
        <w:bidi w:val="0"/>
        <w:spacing w:lineRule="auto" w:line="288" w:before="0" w:after="180"/>
        <w:jc w:val="both"/>
        <w:rPr/>
      </w:pPr>
      <w:r>
        <w:rPr>
          <w:rFonts w:ascii="Times New Roman;serif" w:hAnsi="Times New Roman;serif"/>
          <w:b/>
          <w:i/>
          <w:color w:val="000000"/>
          <w:sz w:val="20"/>
        </w:rPr>
        <w:t xml:space="preserve">Asset retirement obligations </w:t>
      </w:r>
      <w:r>
        <w:rPr>
          <w:color w:val="000000"/>
        </w:rPr>
        <w:t xml:space="preserve">– </w:t>
      </w:r>
      <w:r>
        <w:rPr>
          <w:rFonts w:ascii="Times New Roman;serif" w:hAnsi="Times New Roman;serif"/>
          <w:b w:val="false"/>
          <w:color w:val="000000"/>
          <w:sz w:val="20"/>
        </w:rPr>
        <w:t xml:space="preserve">We record asset retirement obligations associated with the retirement of tangible long-lived assets as a liability in the period in which the obligation is incurred and its fair value can be reasonably estimated. These obligations primarily represent legal obligations to return our AES Facility to its initial state in connection with the site being decommissioned (if ever). The liability is measured at the present value of the obligation when incurred and is adjusted in subsequent periods. Corresponding asset retirement costs are capitalized as part of the carrying value of the related long-lived assets and depreciated over the asset’s useful life.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20 - Commitments and Contingencies of the Notes to the audited Consolidated Financial Statements for further discussion of our asset retirement obligations.</w:t>
      </w:r>
    </w:p>
    <w:p>
      <w:pPr>
        <w:pStyle w:val="TextBody"/>
        <w:bidi w:val="0"/>
        <w:spacing w:lineRule="auto" w:line="288" w:before="0" w:after="180"/>
        <w:jc w:val="both"/>
        <w:rPr/>
      </w:pPr>
      <w:r>
        <w:rPr>
          <w:rFonts w:ascii="Times New Roman;serif" w:hAnsi="Times New Roman;serif"/>
          <w:b/>
          <w:i/>
          <w:color w:val="000000"/>
          <w:sz w:val="20"/>
        </w:rPr>
        <w:t>Environmental Liabilities and Expenditures</w:t>
      </w:r>
      <w:r>
        <w:rPr>
          <w:color w:val="000000"/>
        </w:rPr>
        <w:t xml:space="preserve"> </w:t>
      </w:r>
      <w:r>
        <w:rPr>
          <w:rFonts w:ascii="Times New Roman;serif" w:hAnsi="Times New Roman;serif"/>
          <w:b w:val="false"/>
          <w:color w:val="000000"/>
          <w:sz w:val="20"/>
        </w:rPr>
        <w:t xml:space="preserve">- We accrue for environmental remediation costs when it is probable that a liability has been incurred and a reasonable estimate of the liability can be made. Where the available information is sufficient to estimate the amount of liability, that estimate has been used. Where the information is only sufficient to establish a range of probable liability, and no point within the range is more likely than any other, the lower end of the range has been used. Estimated liabilities are determined based on existing remediation laws and technologies and our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These liabilities are adjusted periodically as remediation efforts progress and as additional technology, regulatory, and legal information become available.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Costs related to environmental remediation are charged to expense in the period that the associated liability is accrued.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20 - Commitments and Contingencies of the Notes to the audited Consolidated Financial Statements for further discussion of our environmental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Prior to the Spin-off, to manage our exposures and mitigate the impact of currency fluctuations on the operations of our foreign subsidiaries, we hedged our main transactional exposures through the use of foreign exchange forward and option contracts under Honeywell’s centralized treasury program. After the Spin-off, we did not have any foreign currency hedges outstanding at December 31, 2025. Assuming a hypothetical 10% strengthening of the U.S. dollar versus local currencies, our pre-tax earnings would decrease by $30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entered into certain debt financing agreements to fund our operating needs. We utilize our cash flows to continue to invest in our business, as well as to repay our indebtedness over time. Our ability to make payments on and to refinance our indebtedness will depend on our ability to generate cash in the future from operations, financings or asset sales. Assuming a hypothetical one percentage point increase in interest rates, the fair value of our fixed rate debt would decrease by $62 million. A change in interest rates on our variable rate debt would not impact the fair value of those instruments. Assuming a hypothetical one percentage point increase in interest rates, the interest expense on our variable rate debt would increase by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SOLSTICE ADVANCED MATERIALS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345" w:type="dxa"/>
        <w:jc w:val="left"/>
        <w:tblInd w:w="0" w:type="dxa"/>
        <w:tblLayout w:type="fixed"/>
        <w:tblCellMar>
          <w:top w:w="28" w:type="dxa"/>
          <w:left w:w="28" w:type="dxa"/>
          <w:bottom w:w="28" w:type="dxa"/>
          <w:right w:w="28" w:type="dxa"/>
        </w:tblCellMar>
      </w:tblPr>
      <w:tblGrid>
        <w:gridCol w:w="3218"/>
        <w:gridCol w:w="2827"/>
        <w:gridCol w:w="2834"/>
        <w:gridCol w:w="136"/>
        <w:gridCol w:w="136"/>
        <w:gridCol w:w="194"/>
      </w:tblGrid>
      <w:tr>
        <w:trPr/>
        <w:tc>
          <w:tcPr>
            <w:tcW w:w="3218"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Audited Consolidated Financial Statements</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35">
              <w:r>
                <w:rPr>
                  <w:rStyle w:val="InternetLink"/>
                  <w:rFonts w:ascii="Times New Roman;serif" w:hAnsi="Times New Roman;serif"/>
                  <w:b w:val="false"/>
                  <w:color w:val="0000FF"/>
                  <w:sz w:val="20"/>
                  <w:u w:val="single"/>
                </w:rPr>
                <w:t xml:space="preserve">Report of Independent Registered Public Accounting Firm (PCAOB ID </w:t>
              </w:r>
            </w:hyperlink>
            <w:r>
              <w:rPr>
                <w:rFonts w:ascii="Times New Roman;serif" w:hAnsi="Times New Roman;serif"/>
                <w:b w:val="false"/>
                <w:color w:val="0E32E1"/>
                <w:sz w:val="20"/>
                <w:u w:val="single"/>
              </w:rPr>
              <w:t>34</w:t>
            </w:r>
            <w:hyperlink w:anchor="i71156d3e48484912b4e5b1e4c6e171d4_235">
              <w:r>
                <w:rPr>
                  <w:rStyle w:val="InternetLink"/>
                  <w:rFonts w:ascii="Times New Roman;serif" w:hAnsi="Times New Roman;serif"/>
                  <w:b w:val="false"/>
                  <w:color w:val="0000FF"/>
                  <w:sz w:val="20"/>
                  <w:u w:val="single"/>
                </w:rPr>
                <w: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35">
              <w:r>
                <w:rPr>
                  <w:rStyle w:val="InternetLink"/>
                  <w:rFonts w:ascii="Times New Roman;serif" w:hAnsi="Times New Roman;serif"/>
                  <w:b w:val="false"/>
                  <w:color w:val="0000FF"/>
                  <w:sz w:val="20"/>
                  <w:u w:val="single"/>
                </w:rPr>
                <w:t>64</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38">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38">
              <w:r>
                <w:rPr>
                  <w:rStyle w:val="InternetLink"/>
                  <w:rFonts w:ascii="Times New Roman;serif" w:hAnsi="Times New Roman;serif"/>
                  <w:b w:val="false"/>
                  <w:color w:val="0000FF"/>
                  <w:sz w:val="20"/>
                  <w:u w:val="single"/>
                </w:rPr>
                <w:t>66</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41">
              <w:r>
                <w:rPr>
                  <w:rStyle w:val="InternetLink"/>
                  <w:rFonts w:ascii="Times New Roman;serif" w:hAnsi="Times New Roman;serif"/>
                  <w:b w:val="false"/>
                  <w:color w:val="0000FF"/>
                  <w:sz w:val="20"/>
                  <w:u w:val="single"/>
                </w:rPr>
                <w:t>Consolidated Statements of Comprehensive Income for the years ended December 31, 2025, 2024, and 2023</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41">
              <w:r>
                <w:rPr>
                  <w:rStyle w:val="InternetLink"/>
                  <w:rFonts w:ascii="Times New Roman;serif" w:hAnsi="Times New Roman;serif"/>
                  <w:b w:val="false"/>
                  <w:color w:val="0000FF"/>
                  <w:sz w:val="20"/>
                  <w:u w:val="single"/>
                </w:rPr>
                <w:t>67</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44">
              <w:r>
                <w:rPr>
                  <w:rStyle w:val="InternetLink"/>
                  <w:rFonts w:ascii="Times New Roman;serif" w:hAnsi="Times New Roman;serif"/>
                  <w:b w:val="false"/>
                  <w:color w:val="0000FF"/>
                  <w:sz w:val="20"/>
                  <w:u w:val="single"/>
                </w:rPr>
                <w:t>Consolidated Balance Sheets as of December 31, 2025 and 2024</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44">
              <w:r>
                <w:rPr>
                  <w:rStyle w:val="InternetLink"/>
                  <w:rFonts w:ascii="Times New Roman;serif" w:hAnsi="Times New Roman;serif"/>
                  <w:b w:val="false"/>
                  <w:color w:val="0000FF"/>
                  <w:sz w:val="20"/>
                  <w:u w:val="single"/>
                </w:rPr>
                <w:t>68</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47">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47">
              <w:r>
                <w:rPr>
                  <w:rStyle w:val="InternetLink"/>
                  <w:rFonts w:ascii="Times New Roman;serif" w:hAnsi="Times New Roman;serif"/>
                  <w:b w:val="false"/>
                  <w:color w:val="0000FF"/>
                  <w:sz w:val="20"/>
                  <w:u w:val="single"/>
                </w:rPr>
                <w:t>69</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50">
              <w:r>
                <w:rPr>
                  <w:rStyle w:val="InternetLink"/>
                  <w:rFonts w:ascii="Times New Roman;serif" w:hAnsi="Times New Roman;serif"/>
                  <w:b w:val="false"/>
                  <w:color w:val="0000FF"/>
                  <w:sz w:val="20"/>
                  <w:u w:val="single"/>
                </w:rPr>
                <w:t>Consolidated Statements of Equity for the years ended December 31, 2025, 2024, and 2023</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50">
              <w:r>
                <w:rPr>
                  <w:rStyle w:val="InternetLink"/>
                  <w:rFonts w:ascii="Times New Roman;serif" w:hAnsi="Times New Roman;serif"/>
                  <w:b w:val="false"/>
                  <w:color w:val="0000FF"/>
                  <w:sz w:val="20"/>
                  <w:u w:val="single"/>
                </w:rPr>
                <w:t>70</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53">
              <w:r>
                <w:rPr>
                  <w:rStyle w:val="InternetLink"/>
                  <w:rFonts w:ascii="Times New Roman;serif" w:hAnsi="Times New Roman;serif"/>
                  <w:b w:val="false"/>
                  <w:color w:val="0000FF"/>
                  <w:sz w:val="20"/>
                  <w:u w:val="single"/>
                </w:rPr>
                <w:t>Notes to the Consolidated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53">
              <w:r>
                <w:rPr>
                  <w:rStyle w:val="InternetLink"/>
                  <w:rFonts w:ascii="Times New Roman;serif" w:hAnsi="Times New Roman;serif"/>
                  <w:b w:val="false"/>
                  <w:color w:val="0000FF"/>
                  <w:sz w:val="20"/>
                  <w:u w:val="single"/>
                </w:rPr>
                <w:t>71</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56">
              <w:r>
                <w:rPr>
                  <w:rStyle w:val="InternetLink"/>
                  <w:rFonts w:ascii="Times New Roman;serif" w:hAnsi="Times New Roman;serif"/>
                  <w:b w:val="false"/>
                  <w:color w:val="0000FF"/>
                  <w:sz w:val="20"/>
                  <w:u w:val="single"/>
                </w:rPr>
                <w:t>Note 1. Business Overview and Basis of Presentation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56">
              <w:r>
                <w:rPr>
                  <w:rStyle w:val="InternetLink"/>
                  <w:rFonts w:ascii="Times New Roman;serif" w:hAnsi="Times New Roman;serif"/>
                  <w:b w:val="false"/>
                  <w:color w:val="0000FF"/>
                  <w:sz w:val="20"/>
                  <w:u w:val="single"/>
                </w:rPr>
                <w:t>71</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59">
              <w:r>
                <w:rPr>
                  <w:rStyle w:val="InternetLink"/>
                  <w:rFonts w:ascii="Times New Roman;serif" w:hAnsi="Times New Roman;serif"/>
                  <w:b w:val="false"/>
                  <w:color w:val="0000FF"/>
                  <w:sz w:val="20"/>
                  <w:u w:val="single"/>
                </w:rPr>
                <w:t>Note 2. Summary of Significant Accounting Policies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59">
              <w:r>
                <w:rPr>
                  <w:rStyle w:val="InternetLink"/>
                  <w:rFonts w:ascii="Times New Roman;serif" w:hAnsi="Times New Roman;serif"/>
                  <w:b w:val="false"/>
                  <w:color w:val="0000FF"/>
                  <w:sz w:val="20"/>
                  <w:u w:val="single"/>
                </w:rPr>
                <w:t>72</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62">
              <w:r>
                <w:rPr>
                  <w:rStyle w:val="InternetLink"/>
                  <w:rFonts w:ascii="Times New Roman;serif" w:hAnsi="Times New Roman;serif"/>
                  <w:b w:val="false"/>
                  <w:color w:val="0000FF"/>
                  <w:sz w:val="20"/>
                  <w:u w:val="single"/>
                </w:rPr>
                <w:t>Note 3. Related Party Transactions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62">
              <w:r>
                <w:rPr>
                  <w:rStyle w:val="InternetLink"/>
                  <w:rFonts w:ascii="Times New Roman;serif" w:hAnsi="Times New Roman;serif"/>
                  <w:b w:val="false"/>
                  <w:color w:val="0000FF"/>
                  <w:sz w:val="20"/>
                  <w:u w:val="single"/>
                </w:rPr>
                <w:t>79</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65">
              <w:r>
                <w:rPr>
                  <w:rStyle w:val="InternetLink"/>
                  <w:rFonts w:ascii="Times New Roman;serif" w:hAnsi="Times New Roman;serif"/>
                  <w:b w:val="false"/>
                  <w:color w:val="0000FF"/>
                  <w:sz w:val="20"/>
                  <w:u w:val="single"/>
                </w:rPr>
                <w:t>Note 4. Revenue Recognition and Contracts with Customers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65">
              <w:r>
                <w:rPr>
                  <w:rStyle w:val="InternetLink"/>
                  <w:rFonts w:ascii="Times New Roman;serif" w:hAnsi="Times New Roman;serif"/>
                  <w:b w:val="false"/>
                  <w:color w:val="0000FF"/>
                  <w:sz w:val="20"/>
                  <w:u w:val="single"/>
                </w:rPr>
                <w:t>81</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74">
              <w:r>
                <w:rPr>
                  <w:rStyle w:val="InternetLink"/>
                  <w:rFonts w:ascii="Times New Roman;serif" w:hAnsi="Times New Roman;serif"/>
                  <w:b w:val="false"/>
                  <w:color w:val="0000FF"/>
                  <w:sz w:val="20"/>
                  <w:u w:val="single"/>
                </w:rPr>
                <w:t>Note 5. Income Taxes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74">
              <w:r>
                <w:rPr>
                  <w:rStyle w:val="InternetLink"/>
                  <w:rFonts w:ascii="Times New Roman;serif" w:hAnsi="Times New Roman;serif"/>
                  <w:b w:val="false"/>
                  <w:color w:val="0000FF"/>
                  <w:sz w:val="20"/>
                  <w:u w:val="single"/>
                </w:rPr>
                <w:t>82</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77">
              <w:r>
                <w:rPr>
                  <w:rStyle w:val="InternetLink"/>
                  <w:rFonts w:ascii="Times New Roman;serif" w:hAnsi="Times New Roman;serif"/>
                  <w:b w:val="false"/>
                  <w:color w:val="0000FF"/>
                  <w:sz w:val="20"/>
                  <w:u w:val="single"/>
                </w:rPr>
                <w:t>Note 6. Inventories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77">
              <w:r>
                <w:rPr>
                  <w:rStyle w:val="InternetLink"/>
                  <w:rFonts w:ascii="Times New Roman;serif" w:hAnsi="Times New Roman;serif"/>
                  <w:b w:val="false"/>
                  <w:color w:val="0000FF"/>
                  <w:sz w:val="20"/>
                  <w:u w:val="single"/>
                </w:rPr>
                <w:t>87</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80">
              <w:r>
                <w:rPr>
                  <w:rStyle w:val="InternetLink"/>
                  <w:rFonts w:ascii="Times New Roman;serif" w:hAnsi="Times New Roman;serif"/>
                  <w:b w:val="false"/>
                  <w:color w:val="0000FF"/>
                  <w:sz w:val="20"/>
                  <w:u w:val="single"/>
                </w:rPr>
                <w:t>Note 7. Property, Plant and Equipment – Net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80">
              <w:r>
                <w:rPr>
                  <w:rStyle w:val="InternetLink"/>
                  <w:rFonts w:ascii="Times New Roman;serif" w:hAnsi="Times New Roman;serif"/>
                  <w:b w:val="false"/>
                  <w:color w:val="0000FF"/>
                  <w:sz w:val="20"/>
                  <w:u w:val="single"/>
                </w:rPr>
                <w:t>87</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83">
              <w:r>
                <w:rPr>
                  <w:rStyle w:val="InternetLink"/>
                  <w:rFonts w:ascii="Times New Roman;serif" w:hAnsi="Times New Roman;serif"/>
                  <w:b w:val="false"/>
                  <w:color w:val="0000FF"/>
                  <w:sz w:val="20"/>
                  <w:u w:val="single"/>
                </w:rPr>
                <w:t>Note 8. Goodwill and Other Intangible Assets – Net</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83">
              <w:r>
                <w:rPr>
                  <w:rStyle w:val="InternetLink"/>
                  <w:rFonts w:ascii="Times New Roman;serif" w:hAnsi="Times New Roman;serif"/>
                  <w:b w:val="false"/>
                  <w:color w:val="0000FF"/>
                  <w:sz w:val="20"/>
                  <w:u w:val="single"/>
                </w:rPr>
                <w:t>87</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86">
              <w:r>
                <w:rPr>
                  <w:rStyle w:val="InternetLink"/>
                  <w:rFonts w:ascii="Times New Roman;serif" w:hAnsi="Times New Roman;serif"/>
                  <w:b w:val="false"/>
                  <w:color w:val="0000FF"/>
                  <w:sz w:val="20"/>
                  <w:u w:val="single"/>
                </w:rPr>
                <w:t>Note 9. Other Noncurrent Assets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86">
              <w:r>
                <w:rPr>
                  <w:rStyle w:val="InternetLink"/>
                  <w:rFonts w:ascii="Times New Roman;serif" w:hAnsi="Times New Roman;serif"/>
                  <w:b w:val="false"/>
                  <w:color w:val="0000FF"/>
                  <w:sz w:val="20"/>
                  <w:u w:val="single"/>
                </w:rPr>
                <w:t>88</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89">
              <w:r>
                <w:rPr>
                  <w:rStyle w:val="InternetLink"/>
                  <w:rFonts w:ascii="Times New Roman;serif" w:hAnsi="Times New Roman;serif"/>
                  <w:b w:val="false"/>
                  <w:color w:val="0000FF"/>
                  <w:sz w:val="20"/>
                  <w:u w:val="single"/>
                </w:rPr>
                <w:t>Note 10. Leases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89">
              <w:r>
                <w:rPr>
                  <w:rStyle w:val="InternetLink"/>
                  <w:rFonts w:ascii="Times New Roman;serif" w:hAnsi="Times New Roman;serif"/>
                  <w:b w:val="false"/>
                  <w:color w:val="0000FF"/>
                  <w:sz w:val="20"/>
                  <w:u w:val="single"/>
                </w:rPr>
                <w:t>89</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859">
              <w:r>
                <w:rPr>
                  <w:rStyle w:val="InternetLink"/>
                  <w:rFonts w:ascii="Times New Roman;serif" w:hAnsi="Times New Roman;serif"/>
                  <w:b w:val="false"/>
                  <w:color w:val="0000FF"/>
                  <w:sz w:val="20"/>
                  <w:u w:val="single"/>
                </w:rPr>
                <w:t>Note 11. Debt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859">
              <w:r>
                <w:rPr>
                  <w:rStyle w:val="InternetLink"/>
                  <w:rFonts w:ascii="Times New Roman;serif" w:hAnsi="Times New Roman;serif"/>
                  <w:b w:val="false"/>
                  <w:color w:val="0000FF"/>
                  <w:sz w:val="20"/>
                  <w:u w:val="single"/>
                </w:rPr>
                <w:t>91</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95">
              <w:r>
                <w:rPr>
                  <w:rStyle w:val="InternetLink"/>
                  <w:rFonts w:ascii="Times New Roman;serif" w:hAnsi="Times New Roman;serif"/>
                  <w:b w:val="false"/>
                  <w:color w:val="0000FF"/>
                  <w:sz w:val="20"/>
                  <w:u w:val="single"/>
                </w:rPr>
                <w:t>Note 12. Accrued and Other Current Liabilities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95">
              <w:r>
                <w:rPr>
                  <w:rStyle w:val="InternetLink"/>
                  <w:rFonts w:ascii="Times New Roman;serif" w:hAnsi="Times New Roman;serif"/>
                  <w:b w:val="false"/>
                  <w:color w:val="0000FF"/>
                  <w:sz w:val="20"/>
                  <w:u w:val="single"/>
                </w:rPr>
                <w:t>93</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98">
              <w:r>
                <w:rPr>
                  <w:rStyle w:val="InternetLink"/>
                  <w:rFonts w:ascii="Times New Roman;serif" w:hAnsi="Times New Roman;serif"/>
                  <w:b w:val="false"/>
                  <w:color w:val="0000FF"/>
                  <w:sz w:val="20"/>
                  <w:u w:val="single"/>
                </w:rPr>
                <w:t>Note 13. Other Noncurrent Liabilities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98">
              <w:r>
                <w:rPr>
                  <w:rStyle w:val="InternetLink"/>
                  <w:rFonts w:ascii="Times New Roman;serif" w:hAnsi="Times New Roman;serif"/>
                  <w:b w:val="false"/>
                  <w:color w:val="0000FF"/>
                  <w:sz w:val="20"/>
                  <w:u w:val="single"/>
                </w:rPr>
                <w:t>93</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292">
              <w:r>
                <w:rPr>
                  <w:rStyle w:val="InternetLink"/>
                  <w:rFonts w:ascii="Times New Roman;serif" w:hAnsi="Times New Roman;serif"/>
                  <w:b w:val="false"/>
                  <w:color w:val="000080"/>
                  <w:sz w:val="20"/>
                  <w:u w:val="single"/>
                </w:rPr>
                <w:t>Note 14. Fair Value Measurement</w:t>
              </w:r>
            </w:hyperlink>
            <w:hyperlink w:anchor="i71156d3e48484912b4e5b1e4c6e171d4_292">
              <w:r>
                <w:rPr>
                  <w:rStyle w:val="InternetLink"/>
                  <w:rFonts w:ascii="Times New Roman;serif" w:hAnsi="Times New Roman;serif"/>
                  <w:b w:val="false"/>
                  <w:color w:val="000080"/>
                  <w:sz w:val="20"/>
                  <w:u w:val="single"/>
                </w:rPr>
                <w: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292">
              <w:r>
                <w:rPr>
                  <w:rStyle w:val="InternetLink"/>
                  <w:rFonts w:ascii="Times New Roman;serif" w:hAnsi="Times New Roman;serif"/>
                  <w:b w:val="false"/>
                  <w:color w:val="0000FF"/>
                  <w:sz w:val="20"/>
                  <w:u w:val="single"/>
                </w:rPr>
                <w:t>93</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01">
              <w:r>
                <w:rPr>
                  <w:rStyle w:val="InternetLink"/>
                  <w:rFonts w:ascii="Times New Roman;serif" w:hAnsi="Times New Roman;serif"/>
                  <w:b w:val="false"/>
                  <w:color w:val="0000FF"/>
                  <w:sz w:val="20"/>
                  <w:u w:val="single"/>
                </w:rPr>
                <w:t>Note 15. Stock-Based Compensation Plans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01">
              <w:r>
                <w:rPr>
                  <w:rStyle w:val="InternetLink"/>
                  <w:rFonts w:ascii="Times New Roman;serif" w:hAnsi="Times New Roman;serif"/>
                  <w:b w:val="false"/>
                  <w:color w:val="0000FF"/>
                  <w:sz w:val="20"/>
                  <w:u w:val="single"/>
                </w:rPr>
                <w:t>94</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876">
              <w:r>
                <w:rPr>
                  <w:rStyle w:val="InternetLink"/>
                  <w:rFonts w:ascii="Times New Roman;serif" w:hAnsi="Times New Roman;serif"/>
                  <w:b w:val="false"/>
                  <w:color w:val="0000FF"/>
                  <w:sz w:val="20"/>
                  <w:u w:val="single"/>
                </w:rPr>
                <w:t>Note 16. Earnings Per Share</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876">
              <w:r>
                <w:rPr>
                  <w:rStyle w:val="InternetLink"/>
                  <w:rFonts w:ascii="Times New Roman;serif" w:hAnsi="Times New Roman;serif"/>
                  <w:b w:val="false"/>
                  <w:color w:val="0000FF"/>
                  <w:sz w:val="20"/>
                  <w:u w:val="single"/>
                </w:rPr>
                <w:t>96</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04">
              <w:r>
                <w:rPr>
                  <w:rStyle w:val="InternetLink"/>
                  <w:rFonts w:ascii="Times New Roman;serif" w:hAnsi="Times New Roman;serif"/>
                  <w:b w:val="false"/>
                  <w:color w:val="0000FF"/>
                  <w:sz w:val="20"/>
                  <w:u w:val="single"/>
                </w:rPr>
                <w:t>Note 17. Stockholders' Equity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04">
              <w:r>
                <w:rPr>
                  <w:rStyle w:val="InternetLink"/>
                  <w:rFonts w:ascii="Times New Roman;serif" w:hAnsi="Times New Roman;serif"/>
                  <w:b w:val="false"/>
                  <w:color w:val="0000FF"/>
                  <w:sz w:val="20"/>
                  <w:u w:val="single"/>
                </w:rPr>
                <w:t>96</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9895604654061">
              <w:r>
                <w:rPr>
                  <w:rStyle w:val="InternetLink"/>
                  <w:rFonts w:ascii="Times New Roman;serif" w:hAnsi="Times New Roman;serif"/>
                  <w:b w:val="false"/>
                  <w:color w:val="0000FF"/>
                  <w:sz w:val="20"/>
                  <w:u w:val="single"/>
                </w:rPr>
                <w:t>Note 18. Postretirement Benefit Plans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9895604654061">
              <w:r>
                <w:rPr>
                  <w:rStyle w:val="InternetLink"/>
                  <w:rFonts w:ascii="Times New Roman;serif" w:hAnsi="Times New Roman;serif"/>
                  <w:b w:val="false"/>
                  <w:color w:val="0000FF"/>
                  <w:sz w:val="20"/>
                  <w:u w:val="single"/>
                </w:rPr>
                <w:t>98</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10">
              <w:r>
                <w:rPr>
                  <w:rStyle w:val="InternetLink"/>
                  <w:rFonts w:ascii="Times New Roman;serif" w:hAnsi="Times New Roman;serif"/>
                  <w:b w:val="false"/>
                  <w:color w:val="0000FF"/>
                  <w:sz w:val="20"/>
                  <w:u w:val="single"/>
                </w:rPr>
                <w:t>Note 19. Investments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10">
              <w:r>
                <w:rPr>
                  <w:rStyle w:val="InternetLink"/>
                  <w:rFonts w:ascii="Times New Roman;serif" w:hAnsi="Times New Roman;serif"/>
                  <w:b w:val="false"/>
                  <w:color w:val="0000FF"/>
                  <w:sz w:val="20"/>
                  <w:u w:val="single"/>
                </w:rPr>
                <w:t>102</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13">
              <w:r>
                <w:rPr>
                  <w:rStyle w:val="InternetLink"/>
                  <w:rFonts w:ascii="Times New Roman;serif" w:hAnsi="Times New Roman;serif"/>
                  <w:b w:val="false"/>
                  <w:color w:val="0000FF"/>
                  <w:sz w:val="20"/>
                  <w:u w:val="single"/>
                </w:rPr>
                <w:t>Note 20. Commitments and Contingencies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13">
              <w:r>
                <w:rPr>
                  <w:rStyle w:val="InternetLink"/>
                  <w:rFonts w:ascii="Times New Roman;serif" w:hAnsi="Times New Roman;serif"/>
                  <w:b w:val="false"/>
                  <w:color w:val="0000FF"/>
                  <w:sz w:val="20"/>
                  <w:u w:val="single"/>
                </w:rPr>
                <w:t>103</w:t>
              </w:r>
            </w:hyperlink>
          </w:p>
        </w:tc>
      </w:tr>
      <w:tr>
        <w:trPr/>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16">
              <w:r>
                <w:rPr>
                  <w:rStyle w:val="InternetLink"/>
                  <w:rFonts w:ascii="Times New Roman;serif" w:hAnsi="Times New Roman;serif"/>
                  <w:b w:val="false"/>
                  <w:color w:val="0000FF"/>
                  <w:sz w:val="20"/>
                  <w:u w:val="single"/>
                </w:rPr>
                <w:t>Note 21. Segment Financial Data</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16">
              <w:r>
                <w:rPr>
                  <w:rStyle w:val="InternetLink"/>
                  <w:rFonts w:ascii="Times New Roman;serif" w:hAnsi="Times New Roman;serif"/>
                  <w:b w:val="false"/>
                  <w:color w:val="0000FF"/>
                  <w:sz w:val="20"/>
                  <w:u w:val="single"/>
                </w:rPr>
                <w:t>105</w:t>
              </w:r>
            </w:hyperlink>
          </w:p>
        </w:tc>
      </w:tr>
      <w:tr>
        <w:trPr/>
        <w:tc>
          <w:tcPr>
            <w:tcW w:w="8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71156d3e48484912b4e5b1e4c6e171d4_322">
              <w:r>
                <w:rPr>
                  <w:rStyle w:val="InternetLink"/>
                  <w:rFonts w:ascii="Times New Roman;serif" w:hAnsi="Times New Roman;serif"/>
                  <w:b w:val="false"/>
                  <w:color w:val="0000FF"/>
                  <w:sz w:val="20"/>
                  <w:u w:val="single"/>
                </w:rPr>
                <w:t>Note 22. Subsequent Events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1156d3e48484912b4e5b1e4c6e171d4_322">
              <w:r>
                <w:rPr>
                  <w:rStyle w:val="InternetLink"/>
                  <w:rFonts w:ascii="Times New Roman;serif" w:hAnsi="Times New Roman;serif"/>
                  <w:b w:val="false"/>
                  <w:color w:val="0000FF"/>
                  <w:sz w:val="20"/>
                  <w:u w:val="single"/>
                </w:rPr>
                <w:t>109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Shareowners and Board of Directors of Solstice Advanced Materials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both"/>
        <w:rPr/>
      </w:pPr>
      <w:r>
        <w:rPr>
          <w:rFonts w:ascii="Times New Roman;serif" w:hAnsi="Times New Roman;serif"/>
          <w:b w:val="false"/>
          <w:color w:val="000000"/>
          <w:sz w:val="20"/>
        </w:rPr>
        <w:t>We have audited the accompanying consolidated and combined balance sheets of Solstice Advanced Materials Inc. and subsidiaries (the "Company") as of December 31, 2025, and 2024, the related consolidated and combined statements of operations, comprehensive income, equity, and cash flows</w:t>
      </w:r>
      <w:r>
        <w:rPr>
          <w:color w:val="000000"/>
        </w:rPr>
        <w:t xml:space="preserve"> </w:t>
      </w:r>
      <w:r>
        <w:rPr>
          <w:rFonts w:ascii="Times New Roman;serif" w:hAnsi="Times New Roman;serif"/>
          <w:b w:val="false"/>
          <w:color w:val="000000"/>
          <w:sz w:val="20"/>
        </w:rPr>
        <w:t>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Completeness of Carve-Out Adjustments – Refer to Note 1 to the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consummated on October 30, 2025, the Company recorded an allocation of expenses related to certain Honeywell International Inc. (“Honeywell”) corporate functions based on a proportion of net sales and included certain assets and liabilities held by Honeywell that are specifically identifiable or otherwise attributable to the Company (the “carve-out adjustments”). The identification of these expenses, assets, and liabilities required significant judgment by the Company’s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complexity in identifying certain of these expenses, assets, and liabilities and judgments necessary to estimate them, auditing the carve-out adjustments required both extensive audit effort due to the volume and complexity of the adjustments and a high degree of auditor judgment when performing audit procedures and evaluating the results of those procedures.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completeness of certain carve-out related adjustments included the following, among others: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assessed the completeness of carve-out adjustments by developing an expectation based on adjustments recorded in the Company’s Form 10 registration statement filed on September 30, 2025 with the SEC and prior carve-out financial statements prepared by Honeywell.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assessed the reasonableness of management’s process for identifying assets, liabilities, and expenses attributable to the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assessed the reasonableness of management’s methods and assumptions for allocating expenses related to certain Honeywell corporate functions.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performed detail transaction testing over carve-out adjustments recorded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Evaluating the completeness of the carve-out adjustments recorded.</w:t>
      </w:r>
    </w:p>
    <w:p>
      <w:pPr>
        <w:pStyle w:val="TextBody"/>
        <w:bidi w:val="0"/>
        <w:spacing w:lineRule="auto" w:line="288" w:before="0" w:after="900"/>
        <w:ind w:left="0" w:right="0" w:hanging="360"/>
        <w:jc w:val="both"/>
        <w:rPr/>
      </w:pPr>
      <w:r>
        <w:rPr>
          <w:color w:val="000000"/>
        </w:rPr>
        <w:t>◦</w:t>
      </w:r>
      <w:r>
        <w:rPr>
          <w:rFonts w:ascii="Times New Roman;serif" w:hAnsi="Times New Roman;serif"/>
          <w:b w:val="false"/>
          <w:color w:val="000000"/>
          <w:sz w:val="20"/>
        </w:rPr>
        <w:t>For certain of the carve-out adjustments, with the assistance of our internal specialists, testing the source information underlying the determination of the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Morristown, New Jersey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(Amounts in millions, except per share amounts)</w:t>
      </w:r>
    </w:p>
    <w:tbl>
      <w:tblPr>
        <w:tblW w:w="8966" w:type="dxa"/>
        <w:jc w:val="left"/>
        <w:tblInd w:w="0" w:type="dxa"/>
        <w:tblLayout w:type="fixed"/>
        <w:tblCellMar>
          <w:top w:w="28" w:type="dxa"/>
          <w:left w:w="28" w:type="dxa"/>
          <w:bottom w:w="28" w:type="dxa"/>
          <w:right w:w="28" w:type="dxa"/>
        </w:tblCellMar>
      </w:tblPr>
      <w:tblGrid>
        <w:gridCol w:w="1981"/>
        <w:gridCol w:w="1728"/>
        <w:gridCol w:w="1750"/>
        <w:gridCol w:w="211"/>
        <w:gridCol w:w="616"/>
        <w:gridCol w:w="109"/>
        <w:gridCol w:w="109"/>
        <w:gridCol w:w="109"/>
        <w:gridCol w:w="109"/>
        <w:gridCol w:w="211"/>
        <w:gridCol w:w="616"/>
        <w:gridCol w:w="109"/>
        <w:gridCol w:w="109"/>
        <w:gridCol w:w="109"/>
        <w:gridCol w:w="109"/>
        <w:gridCol w:w="211"/>
        <w:gridCol w:w="616"/>
        <w:gridCol w:w="154"/>
      </w:tblGrid>
      <w:tr>
        <w:trPr/>
        <w:tc>
          <w:tcPr>
            <w:tcW w:w="198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Product sales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Service sales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 sold</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products and services sold</w:t>
            </w:r>
            <w:r>
              <w:rPr>
                <w:color w:val="000000"/>
              </w:rPr>
              <w:t xml:space="preserv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costs, expenses and other</w:t>
            </w:r>
            <w:r>
              <w:rPr>
                <w:color w:val="000000"/>
              </w:rPr>
              <w:t xml:space="preserv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before taxes</w:t>
            </w:r>
            <w:r>
              <w:rPr>
                <w:color w:val="000000"/>
              </w:rPr>
              <w:t xml:space="preserve">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Solstice Advanced Materials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1.Product sales include related party product sales of $91 million, $95 million, and $111 million, for the years ended December 31, 2025, 2024, and 2023,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2.Service sales include related party service sales of $0 million, $30 million, and $0 million, for the years ended December 31, 2025, 2024, and 2023,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3.Cost of products sold include related party cost of products sold of $12 million, $15 million, and $21 million, for the years ended December 31, 2025, 2024, and 2023, 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606" w:type="dxa"/>
        <w:jc w:val="left"/>
        <w:tblInd w:w="0" w:type="dxa"/>
        <w:tblLayout w:type="fixed"/>
        <w:tblCellMar>
          <w:top w:w="28" w:type="dxa"/>
          <w:left w:w="28" w:type="dxa"/>
          <w:bottom w:w="28" w:type="dxa"/>
          <w:right w:w="28" w:type="dxa"/>
        </w:tblCellMar>
      </w:tblPr>
      <w:tblGrid>
        <w:gridCol w:w="1989"/>
        <w:gridCol w:w="1744"/>
        <w:gridCol w:w="1771"/>
        <w:gridCol w:w="211"/>
        <w:gridCol w:w="481"/>
        <w:gridCol w:w="109"/>
        <w:gridCol w:w="109"/>
        <w:gridCol w:w="109"/>
        <w:gridCol w:w="109"/>
        <w:gridCol w:w="211"/>
        <w:gridCol w:w="481"/>
        <w:gridCol w:w="109"/>
        <w:gridCol w:w="109"/>
        <w:gridCol w:w="109"/>
        <w:gridCol w:w="109"/>
        <w:gridCol w:w="211"/>
        <w:gridCol w:w="481"/>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Foreign exchange translation adjustment</w:t>
            </w:r>
            <w:r>
              <w:rPr>
                <w:color w:val="000000"/>
              </w:rPr>
              <w:t xml:space="preserve">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Pension and other postretirement benefit adjustments</w:t>
            </w:r>
            <w:r>
              <w:rPr>
                <w:color w:val="000000"/>
              </w:rPr>
              <w:t xml:space="preserv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recognized in other comprehensive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included in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Changes in fair value of cash flow hedges</w:t>
            </w:r>
            <w:r>
              <w:rPr>
                <w:color w:val="000000"/>
              </w:rPr>
              <w:t xml:space="preserve"> </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comprehensive (loss) income, net of tax</w:t>
            </w:r>
            <w:r>
              <w:rPr>
                <w:color w:val="000000"/>
              </w:rPr>
              <w:t xml:space="preserve">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share and per share amounts)</w:t>
      </w:r>
    </w:p>
    <w:tbl>
      <w:tblPr>
        <w:tblW w:w="10205" w:type="dxa"/>
        <w:jc w:val="left"/>
        <w:tblInd w:w="0" w:type="dxa"/>
        <w:tblLayout w:type="fixed"/>
        <w:tblCellMar>
          <w:top w:w="28" w:type="dxa"/>
          <w:left w:w="28" w:type="dxa"/>
          <w:bottom w:w="28" w:type="dxa"/>
          <w:right w:w="28" w:type="dxa"/>
        </w:tblCellMar>
      </w:tblPr>
      <w:tblGrid>
        <w:gridCol w:w="3047"/>
        <w:gridCol w:w="2515"/>
        <w:gridCol w:w="2518"/>
        <w:gridCol w:w="196"/>
        <w:gridCol w:w="571"/>
        <w:gridCol w:w="109"/>
        <w:gridCol w:w="109"/>
        <w:gridCol w:w="109"/>
        <w:gridCol w:w="109"/>
        <w:gridCol w:w="196"/>
        <w:gridCol w:w="571"/>
        <w:gridCol w:w="155"/>
      </w:tblGrid>
      <w:tr>
        <w:trPr/>
        <w:tc>
          <w:tcPr>
            <w:tcW w:w="3047"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8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Accounts receivable, less allowances of $10 and $7, respectively</w:t>
            </w:r>
            <w:r>
              <w:rPr>
                <w:rFonts w:ascii="Times New Roman;serif" w:hAnsi="Times New Roman;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receivable, current</w:t>
            </w:r>
            <w:r>
              <w:rPr>
                <w:rFonts w:ascii="Times New Roman;serif" w:hAnsi="Times New Roman;serif"/>
                <w:b w:val="false"/>
                <w:color w:val="000000"/>
                <w:sz w:val="10"/>
              </w:rPr>
              <w:t>2</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current assets</w:t>
            </w:r>
            <w:r>
              <w:rPr>
                <w:color w:val="000000"/>
              </w:rPr>
              <w:t xml:space="preserve"> </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receivable, noncurrent</w:t>
            </w:r>
            <w:r>
              <w:rPr>
                <w:rFonts w:ascii="Times New Roman;serif" w:hAnsi="Times New Roman;serif"/>
                <w:b w:val="false"/>
                <w:color w:val="000000"/>
                <w:sz w:val="10"/>
              </w:rPr>
              <w:t>3</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noncurrent assets</w:t>
            </w:r>
            <w:r>
              <w:rPr>
                <w:rFonts w:ascii="Times New Roman;serif" w:hAnsi="Times New Roman;serif"/>
                <w:b w:val="false"/>
                <w:color w:val="000000"/>
                <w:sz w:val="10"/>
              </w:rPr>
              <w:t>4</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assets</w:t>
            </w:r>
            <w:r>
              <w:rPr>
                <w:color w:val="000000"/>
              </w:rPr>
              <w:t xml:space="preserv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Accounts payable</w:t>
            </w:r>
            <w:r>
              <w:rPr>
                <w:rFonts w:ascii="Times New Roman;serif" w:hAnsi="Times New Roman;serif"/>
                <w:b w:val="false"/>
                <w:color w:val="000000"/>
                <w:sz w:val="10"/>
              </w:rPr>
              <w:t>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Product loans payable, current</w:t>
            </w:r>
            <w:r>
              <w:rPr>
                <w:rFonts w:ascii="Times New Roman;serif" w:hAnsi="Times New Roman;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Finance lease liabilities, current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Accrued and other current liabilities</w:t>
            </w:r>
            <w:r>
              <w:rPr>
                <w:rFonts w:ascii="Times New Roman;serif" w:hAnsi="Times New Roman;serif"/>
                <w:b w:val="false"/>
                <w:color w:val="000000"/>
                <w:sz w:val="10"/>
              </w:rPr>
              <w:t>6</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Product loans payable, noncurrent</w:t>
            </w:r>
            <w:r>
              <w:rPr>
                <w:rFonts w:ascii="Times New Roman;serif" w:hAnsi="Times New Roman;serif"/>
                <w:b w:val="false"/>
                <w:color w:val="000000"/>
                <w:sz w:val="10"/>
              </w:rPr>
              <w:t>3</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Finance lease liabilities, noncurrent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w:t>
            </w:r>
            <w:r>
              <w:rPr>
                <w:color w:val="000000"/>
              </w:rPr>
              <w:t xml:space="preserve"> </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per share; 500,000,000 shares authorized; 158,747,196 shares issued and outstanding at December 31, 2025; 0 shares issued and outstanding at December 31, 2024)</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Parent investment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Solstice Advanced Materials stockholders’ equity</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equity</w:t>
            </w:r>
            <w:r>
              <w:rPr>
                <w:color w:val="000000"/>
              </w:rPr>
              <w:t xml:space="preserve"> </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6"/>
              </w:rPr>
              <w:t>Total liabilities and equity</w:t>
            </w:r>
            <w:r>
              <w:rPr>
                <w:color w:val="000000"/>
              </w:rPr>
              <w:t xml:space="preserve">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5,004</w:t>
            </w: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receivable include related party receivables of $45 million and $40 million, as of December 31, 2025 and 2024,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2.Product loans receivable/payable, current include related party loans receivables/payables of $178 million and $0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3.Product loans receivable/payable, noncurrent include related party loans receivables/payables of $0 million and $156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4.Other noncurrent assets include related party long-term receivables of $0 million and $7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5.Accounts payable include related party accounts payables of $2 million and $3 million as of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6.Accrued and other current liabilities include related party payables of $69 million and $60 million as of December 31, 2025 and 2024, respectively.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667" w:type="dxa"/>
        <w:jc w:val="center"/>
        <w:tblInd w:w="0" w:type="dxa"/>
        <w:tblLayout w:type="fixed"/>
        <w:tblCellMar>
          <w:top w:w="28" w:type="dxa"/>
          <w:left w:w="28" w:type="dxa"/>
          <w:bottom w:w="28" w:type="dxa"/>
          <w:right w:w="28" w:type="dxa"/>
        </w:tblCellMar>
      </w:tblPr>
      <w:tblGrid>
        <w:gridCol w:w="2081"/>
        <w:gridCol w:w="1825"/>
        <w:gridCol w:w="1839"/>
        <w:gridCol w:w="196"/>
        <w:gridCol w:w="436"/>
        <w:gridCol w:w="109"/>
        <w:gridCol w:w="109"/>
        <w:gridCol w:w="109"/>
        <w:gridCol w:w="109"/>
        <w:gridCol w:w="196"/>
        <w:gridCol w:w="436"/>
        <w:gridCol w:w="109"/>
        <w:gridCol w:w="109"/>
        <w:gridCol w:w="109"/>
        <w:gridCol w:w="109"/>
        <w:gridCol w:w="196"/>
        <w:gridCol w:w="436"/>
        <w:gridCol w:w="154"/>
      </w:tblGrid>
      <w:tr>
        <w:trPr/>
        <w:tc>
          <w:tcPr>
            <w:tcW w:w="208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income</w:t>
            </w:r>
            <w:r>
              <w:rPr>
                <w:color w:val="000000"/>
              </w:rPr>
              <w:t xml:space="preserv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income of affiliated companies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fixed assets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on long-term debt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receivable</w:t>
            </w:r>
            <w:r>
              <w:rPr>
                <w:rFonts w:ascii="Times New Roman;serif" w:hAnsi="Times New Roman;serif"/>
                <w:b w:val="false"/>
                <w:color w:val="000000"/>
                <w:sz w:val="12"/>
              </w:rPr>
              <w:t>1</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2</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Accrued liabilities, current</w:t>
            </w:r>
            <w:r>
              <w:rPr>
                <w:rFonts w:ascii="Times New Roman;serif" w:hAnsi="Times New Roman;serif"/>
                <w:b w:val="false"/>
                <w:color w:val="000000"/>
                <w:sz w:val="12"/>
              </w:rPr>
              <w:t>3</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30</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and customer advances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provided by operating activities</w:t>
            </w:r>
            <w:r>
              <w:rPr>
                <w:color w:val="000000"/>
              </w:rPr>
              <w:t xml:space="preserve"> </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Capital expenditures paid</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long-life catalysts and deferred maintenance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disposals of property, plant, and equipment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investing activities</w:t>
            </w:r>
            <w:r>
              <w:rPr>
                <w:color w:val="000000"/>
              </w:rPr>
              <w:t xml:space="preserve"> </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to Parent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long-term debt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Payment of deferred financing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to parent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cash used for financing activities</w:t>
            </w:r>
            <w:r>
              <w:rPr>
                <w:color w:val="000000"/>
              </w:rPr>
              <w:t xml:space="preserve"> </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and cash equivalents</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Net (decrease) increase in cash and cash equivalents</w:t>
            </w:r>
            <w:r>
              <w:rPr>
                <w:color w:val="000000"/>
              </w:rPr>
              <w:t xml:space="preserve"> </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Cash and cash equivalents at end of period</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taxes paid,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paid on finance leases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6"/>
        </w:rPr>
        <w:t>1.Includes (increase)/decrease in short term related party receivables of</w:t>
      </w:r>
      <w:r>
        <w:rPr>
          <w:color w:val="EE2724"/>
        </w:rPr>
        <w:t xml:space="preserve"> </w:t>
      </w:r>
      <w:r>
        <w:rPr>
          <w:rFonts w:ascii="Times New Roman;serif" w:hAnsi="Times New Roman;serif"/>
          <w:b w:val="false"/>
          <w:color w:val="000000"/>
          <w:sz w:val="16"/>
        </w:rPr>
        <w:t>$</w:t>
      </w: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16"/>
        </w:rPr>
        <w:t>million, $</w:t>
      </w: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16"/>
        </w:rPr>
        <w:t>million, and $(10) million for the years ended December 31, 2025, 2024, and 2023, respectively, and decrease/(increase) in long term related party receivables of $</w:t>
      </w:r>
      <w:r>
        <w:rPr>
          <w:rFonts w:ascii="Times New Roman;serif" w:hAnsi="Times New Roman;serif"/>
          <w:b w:val="false"/>
          <w:color w:val="000000"/>
          <w:sz w:val="20"/>
        </w:rPr>
        <w:t>7</w:t>
      </w:r>
      <w:r>
        <w:rPr>
          <w:color w:val="000000"/>
        </w:rPr>
        <w:t xml:space="preserve"> </w:t>
      </w:r>
      <w:r>
        <w:rPr>
          <w:rFonts w:ascii="Times New Roman;serif" w:hAnsi="Times New Roman;serif"/>
          <w:b w:val="false"/>
          <w:color w:val="000000"/>
          <w:sz w:val="16"/>
        </w:rPr>
        <w:t>million and $</w:t>
      </w:r>
      <w:r>
        <w:rPr>
          <w:rFonts w:ascii="Times New Roman;serif" w:hAnsi="Times New Roman;serif"/>
          <w:b w:val="false"/>
          <w:color w:val="000000"/>
          <w:sz w:val="20"/>
        </w:rPr>
        <w:t>(7)</w:t>
      </w:r>
      <w:r>
        <w:rPr>
          <w:color w:val="000000"/>
        </w:rPr>
        <w:t xml:space="preserve"> </w:t>
      </w:r>
      <w:r>
        <w:rPr>
          <w:rFonts w:ascii="Times New Roman;serif" w:hAnsi="Times New Roman;serif"/>
          <w:b w:val="false"/>
          <w:color w:val="000000"/>
          <w:sz w:val="16"/>
        </w:rPr>
        <w:t>million for the years ended December 31, 2025 and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(decrease)/increase in related party accounts payables of $(1) million, $(4) million, and $(6) million for the years ended December 31, 2025, 2024, and 2023,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3.Includes increase in related party accrued liabilities of $9 million, $7 million, and $6 million for the years ended December 31, 2025, 2024, and 2023, respectively. </w:t>
      </w:r>
    </w:p>
    <w:p>
      <w:pPr>
        <w:pStyle w:val="TextBody"/>
        <w:bidi w:val="0"/>
        <w:spacing w:before="0" w:after="60"/>
        <w:jc w:val="both"/>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754"/>
        <w:gridCol w:w="320"/>
        <w:gridCol w:w="323"/>
        <w:gridCol w:w="216"/>
        <w:gridCol w:w="447"/>
        <w:gridCol w:w="120"/>
        <w:gridCol w:w="109"/>
        <w:gridCol w:w="109"/>
        <w:gridCol w:w="109"/>
        <w:gridCol w:w="205"/>
        <w:gridCol w:w="598"/>
        <w:gridCol w:w="114"/>
        <w:gridCol w:w="109"/>
        <w:gridCol w:w="109"/>
        <w:gridCol w:w="109"/>
        <w:gridCol w:w="207"/>
        <w:gridCol w:w="607"/>
        <w:gridCol w:w="116"/>
        <w:gridCol w:w="109"/>
        <w:gridCol w:w="109"/>
        <w:gridCol w:w="109"/>
        <w:gridCol w:w="338"/>
        <w:gridCol w:w="754"/>
        <w:gridCol w:w="189"/>
        <w:gridCol w:w="109"/>
        <w:gridCol w:w="109"/>
        <w:gridCol w:w="109"/>
        <w:gridCol w:w="213"/>
        <w:gridCol w:w="442"/>
        <w:gridCol w:w="119"/>
        <w:gridCol w:w="109"/>
        <w:gridCol w:w="109"/>
        <w:gridCol w:w="109"/>
        <w:gridCol w:w="367"/>
        <w:gridCol w:w="649"/>
        <w:gridCol w:w="205"/>
        <w:gridCol w:w="109"/>
        <w:gridCol w:w="109"/>
        <w:gridCol w:w="109"/>
        <w:gridCol w:w="197"/>
        <w:gridCol w:w="574"/>
        <w:gridCol w:w="169"/>
      </w:tblGrid>
      <w:tr>
        <w:trPr/>
        <w:tc>
          <w:tcPr>
            <w:tcW w:w="7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January 1, 2023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2,973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2,718</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Foreign exchange translation adjustment </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benefit adjustments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cash flow hedges</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transfers to Parent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Balance as of December 31, 2023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3,028</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Foreign exchange translation adjustment </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benefit adjustments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cash flow hedges</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transfers to Parent </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3,471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3,182</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Foreign exchange translation adjustment </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benefit adjustments</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fair value of cash flow hedges</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transfers to Parent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 to Honeywell in connection with the Separation</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Issuance of common stock in connection with the Separation</w:t>
            </w:r>
            <w:r>
              <w:rPr>
                <w:rFonts w:ascii="Times New Roman;serif" w:hAnsi="Times New Roman;serif"/>
                <w:b w:val="false"/>
                <w:color w:val="000000"/>
                <w:sz w:val="10"/>
              </w:rPr>
              <w:t xml:space="preserve">1 </w:t>
            </w:r>
            <w:r>
              <w:rPr>
                <w:rFonts w:ascii="Times New Roman;serif" w:hAnsi="Times New Roman;serif"/>
                <w:b w:val="false"/>
                <w:color w:val="000000"/>
                <w:sz w:val="16"/>
              </w:rPr>
              <w:t>and reclassification of net investment from Honeywell</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issued under employee incentive plans, net of tax withholdings</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1,495</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(127)</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w:t>
            </w:r>
            <w:r>
              <w:rPr>
                <w:color w:val="000000"/>
              </w:rPr>
              <w:t>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1,377</w:t>
            </w:r>
            <w:r>
              <w:rPr>
                <w:color w:val="000000"/>
              </w:rPr>
              <w:t>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17 - Stockholders’ Equity of the Notes to the Consolidated Financial Statements for a rollforward of common stock.</w:t>
      </w:r>
    </w:p>
    <w:p>
      <w:pPr>
        <w:pStyle w:val="TextBody"/>
        <w:bidi w:val="0"/>
        <w:spacing w:before="0" w:after="60"/>
        <w:jc w:val="both"/>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tables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Overview and Basis of Presentation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About the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the “Business” or the “Company”) is a global specialty chemicals and advanced materials company with leading positions in refrigerants, semiconductor materials, protective fibers, and healthcare packaging. Prior to October 30, 2025, the Company was wholly owned by Honeywell International Inc. (“Honeywell” or “Parent”).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8, 2024, Honeywell announced its plan to spin off its Advanced Materials business into an independent, U.S. publicly traded company through a pro rata distribution of all of the outstanding common shares of Solstice Advanced Materials to Honeywell shareowners (the “Spin-off”) that would be tax-free for U.S. federal tax purposes. On October 30, 2025, the Spin-off was consummated by means of a pro-rata distribution (the “Distribution”), which was intended to be tax-free for U.S. federal tax purposes, of all of the issued and outstanding Solstice Advanced Materials common shares to Honeywell’s shareowners of record as of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shareowners. Upon completion of the Distribution, on October 30, 2025, the Company commenced “regular way” trading as an independent public company under the ticker symbol “SOLS” on The Nasdaq Stock Market (“Nasdaq”). Following the Distribution, Honeywell does not beneficially own any Solstice Advanced Materials common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accounting principles generally accepted in the United States of America (“GAAP”) pursuant to the rules and regulations of the U.S. Securities and Exchange Commission (“SEC”).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October 30, 2025 (“the Spin-off date”), the accompanying combined financial statements as of December 31, 2024 and for the years ended December 31, 2024 and 2023 and the consolidated financial statements as of and for the year ended December 31, 2025 (the “financial statements”) of the Company were derived from the consolidated financial statements and accounting records of Honeywell and presented on a standalone basis as if the Company’s operations had been conducted independently from Honeywell. The accompanying financial statements for periods prior to the Spin-off date include all revenues and costs directly attributable to the Solstice Advanced Materials business and an allocation of expenses related to certain Honeywell corporate functions. These expenses were allocated to the Solstice business based on a proportion of net sales. Solstice and Honeywell considered these allocations to be a reasonable reflection of the utilization of services or the benefits received. However, the allocations may not be indicative of the actual expense that would have been incurred had Solstice operated as an independent, standalone entity, nor are they indicative of future expenses of Solstice. All significant intercompany balances between Solstice and Honeywell prior to the Spin-off were included within Net Parent investment on the accompanying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Honeywell used a centralized approach to cash management and financing of its operations. Accordingly, for periods prior to the Spin-off, a substantial portion of the Business’ cash accounts were regularly cleared to the former Parent at Honeywell’s discretion and Honeywell funded the Business’s operating and investing activities as needed. Transfers of cash between Honeywell and the Business were included within Net transfers to Parent on the statements of cash flows and the statements of equity through the pre-Spin-off periods. Honeywell’s long-term debt and related interest expense were not attributed to Solstice for any of the periods presented as the Business was not the legal obligor of such borrowings and Honeywell’s borrowings were not directly attributable to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Spin-off date, the Company’s financial statements from the Spin-off date through December 31, 2025, were consolidated financial statements based on our reported results as a standalone company. All significant transactions between Solstice entities were eliminated.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for all periods presented, including the historical results of the Company prior to the Spin-off, are now referred to as “Consolidated Financial Statements.” Within the financial statements and tables presented, certain columns and rows may not add due to the use of rounded numbers for presentation and disclosure purposes. Percentages presented are calculated from the underlying whole-dollar amounts. Certain items have been recast to conform to current-period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Solstice Advanced Materials, as well as entities in which a controlling interest is maintained. For those entities in which the Company controls and its ownership is less than 100%, the other shareowners’ interests are shown as Noncontrolling interest on the Consolidated Balance Sheets. Investments in companies in which the Company, directly or indirectly, owns a 20% to 50% interest, or has the ability to exercise significant influence over the operating and financial policies of the investee, are accounted for using the equity method of accounting. As a result, Solstice Advanced Materials’ share of the earnings or losses of such equity affiliates is included within Other expense (income) in the Consolidated Statements of Operations, and the Company’s investment is reflected within Other noncurrent assets in the Consolidated Balance Sheets. Refer to Note 19 – Investments for further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assesses the requirements related to variable interest entities (“VIE”), including a qualitative assessment that considers which entity has the power to direct the activities that most significantly impact the VIEs economic performance, and has the right to receive any benefits or the obligation to absorb any losses of the VIE. The Company consolidates all VIEs where the Company is the primary beneficiary. Refer to Note 19 – Investments for further details.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Accounting Standards Implemented</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Taxes Disclosures</w:t>
      </w:r>
      <w:r>
        <w:rPr>
          <w:rFonts w:ascii="Times New Roman;serif" w:hAnsi="Times New Roman;serif"/>
          <w:b w:val="false"/>
          <w:color w:val="000000"/>
          <w:sz w:val="20"/>
        </w:rPr>
        <w:t>, effective for annual periods beginning after December 31, 2024. The new standard requires additional information to be disclosed with respect to the income tax rate reconciliation and income taxes paid disaggregated by jurisdiction. The Company adopted this guidance for the year ended December 31, 2025, and applied it on a prospective basis. Refer to Note 5 – Income Taxes.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Company’s Consolidated Statements of Operations, Consolidated Balance Sheets and Consolidated Statements of Cash Flows.</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which improves the navigability of required interim disclosures, clarifies when that guidance is applicable, and introduces a new principle requiring companies to disclose events since the end of the last annual reporting period that have a material impact on the company. The ASU can be applied prospectively or retrospectively for annual reporting periods beginning after December 15, 2027,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xml:space="preserve">, which excludes certain contracts from the scope of derivative accounting and clarifies the guidance on noncash consideration from a customer for the transfer of goods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services. The ASU can be applied prospectively for annual reporting periods beginning after December 15, 2026, with modified retrospective application and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which amends the accounting for costs related to internal-use software. The update removes all references to project stages and clarifies the two conditions needed to be met to begin capitalizing costs under ASC 350-40. The ASU can be applied prospectively, retrospectively, or via a modified prospective transition approach for annual reporting periods beginning after December 15, 2027, with early adoption permitted. The Company is currently evaluating the impacts of this guidance on the Company’s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prepares its Consolidated Financial Statements in conformity with GAAP. In doing so, the Company is required to make estimates and assumptions that affect the amounts reported in the Consolidated Financial Statements and accompanying notes. The Company bases these estimates on historical experience and on various other assumptions that the Company believes are reasonable under the circumstances, the results of which form the basis for making judgments about the carrying amounts of assets and liabilities that are not readily apparent from other sources. The Company’s actual results may differ materially from these estimates. Significant estimates inherent in the preparation of these Consolidated Financial Statements include, but are not limited to, accounting for allocation of expenses related to certain Honeywell corporate functions, evaluation of goodwill and other intangible assets for impairment, environmental liabilities, asset retirement obligations (“ARO”), pension liabilities and expenses and income taxes.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money market funds, and highly liquid investments having an original maturity of 90 days or less. Prior to the Spin-off, the Company participated in Honeywell’s centralized cash management and financing programs. The Company’s participation in these programs ended at the time of the Spin-off.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and Allowance for Current Expected Credit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classifies the right to consideration in exchange for products or services transferred to a client as Accounts Receivable. Receivables are recorded concurrent with billing upon delivery of goods or services to customers. An allowance for uncollectible receivables and contract assets, if needed, is estimated based on current and future expected economic conditions and past experiences of losses, as well as an assessment specific customer circumstances and of potential recoverability of the balance due.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Receivable losses are charged against the allowance in the period in which the receivable is deemed uncollectible. Subsequent recoveries, if any, are credited to the allowance. Write-offs of receivables and associated reserves occur to the extent that there is no reasonable expectation of additional collections or repossession.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with cost determined on a first-in, first-out basis. Carrying value adjustments for inventory obsolescence are equal to the difference between cost and net realizable value. Net realizable value is the estimated selling price in the ordinary course of business, less reasonably predictable costs of completion, disposal, and transportation.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recorded at cost, less accumulated depreciation. For financial reporting, the straight-line method of depreciation is used over the estimated useful lives of 10 to 50 years for buildings and improvements and 3 to 16 years for machinery and equipment. Recognition of the fair value of obligations associated with the retirement of tangible long-lived assets is required when there is a legal obligation to incur such costs. Upon initial recognition or reassessment of a liability, the cost is capitalized as part of the related long-lived asset and depreciated over the corresponding asset’s useful life.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Repair and Maintenance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Repair and maintenance costs, other than planned major maintenance costs, are expensed as incurred and included within Cost of products and services sold. </w:t>
      </w:r>
    </w:p>
    <w:p>
      <w:pPr>
        <w:pStyle w:val="TextBody"/>
        <w:bidi w:val="0"/>
        <w:spacing w:lineRule="auto" w:line="288" w:before="0" w:after="180"/>
        <w:jc w:val="both"/>
        <w:rPr/>
      </w:pPr>
      <w:r>
        <w:rPr>
          <w:rFonts w:ascii="Times New Roman;serif" w:hAnsi="Times New Roman;serif"/>
          <w:b w:val="false"/>
          <w:color w:val="000000"/>
          <w:sz w:val="20"/>
        </w:rPr>
        <w:t xml:space="preserve">The Company accounts for planned major maintenance activities in accordance with ASC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and has selected the deferral method to account for its planned major maintenance activities. Under the deferral method, major maintenance costs are capitalized and amortized over a period of one to five years on a straight-line basis, which is generally the time of the next scheduled major maintenance. Major maintenance costs are capitalized as part of Other current assets in the Consolidated Balance Sheets when incurred.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goodwill and indefinite-lived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indefinite-lived intangible assets are subject to impairment testing annually as of October 1, or if a triggering event occurs or changes in circumstances indicate that the carrying amount may not be fully recoverable. This testing compares carrying values to fair values and, when appropriate, the carrying value of these assets is reduced to fair value. The Company completed its annual goodwill and indefinite-lived intangible assets impairment tests for the years ended December 31, 2025, 2024, and 2023 and determined that there was no impairment as of each of those dates.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Definite-Lived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definite-lived intangible asset balances in conjunction with acquisitions and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with definite lives consist of customer lists, technology and patents, and other intangibles and are amortized over their estimated useful lives, ranging from 2 to 20 years.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Loans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enters into both lending and borrowing arrangements for quantities of uranium ore as part of its ongoing operations. During 2024, the Company entered into separate agreements to lend quantities of uranium 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which are reflected as product loans receivable, and to borrow quantities of uranium ore, which are reflected as product loans payable. These agreements settle on December 31, 2026. As both the loans receivable and loans payable may be settled in cash, they are both separately measured at fair value on a quarterly basis. As of December 31, </w:t>
      </w:r>
      <w:r>
        <w:rPr>
          <w:rFonts w:ascii="Times New Roman;serif" w:hAnsi="Times New Roman;serif"/>
          <w:b w:val="false"/>
          <w:color w:val="000000"/>
          <w:sz w:val="20"/>
        </w:rPr>
        <w:t>2025 and 2024</w:t>
      </w:r>
      <w:r>
        <w:rPr>
          <w:rFonts w:ascii="Times New Roman;serif" w:hAnsi="Times New Roman;serif"/>
          <w:b w:val="false"/>
          <w:color w:val="000000"/>
          <w:sz w:val="20"/>
          <w:shd w:fill="FFFFFF" w:val="clear"/>
        </w:rPr>
        <w:t>, uranium ore</w:t>
      </w:r>
      <w:r>
        <w:rPr>
          <w:color w:val="000000"/>
          <w:shd w:fill="FFFFFF" w:val="clear"/>
        </w:rPr>
        <w:t xml:space="preserve"> </w:t>
      </w:r>
      <w:r>
        <w:rPr>
          <w:rFonts w:ascii="Times New Roman;serif" w:hAnsi="Times New Roman;serif"/>
          <w:b w:val="false"/>
          <w:color w:val="000000"/>
          <w:sz w:val="20"/>
          <w:shd w:fill="FFFFFF" w:val="clear"/>
        </w:rPr>
        <w:t>product loans receivable and product loans payable reflected in the Consolidated Balance Sheets were $</w:t>
      </w:r>
      <w:r>
        <w:rPr>
          <w:rFonts w:ascii="Times New Roman;serif" w:hAnsi="Times New Roman;serif"/>
          <w:b w:val="false"/>
          <w:color w:val="000000"/>
          <w:sz w:val="20"/>
        </w:rPr>
        <w:t>300</w:t>
      </w:r>
      <w:r>
        <w:rPr>
          <w:color w:val="000000"/>
          <w:shd w:fill="FFFFFF" w:val="clear"/>
        </w:rPr>
        <w:t xml:space="preserve"> </w:t>
      </w:r>
      <w:r>
        <w:rPr>
          <w:rFonts w:ascii="Times New Roman;serif" w:hAnsi="Times New Roman;serif"/>
          <w:b w:val="false"/>
          <w:color w:val="000000"/>
          <w:sz w:val="20"/>
          <w:shd w:fill="FFFFFF" w:val="clear"/>
        </w:rPr>
        <w:t>million and $</w:t>
      </w:r>
      <w:r>
        <w:rPr>
          <w:rFonts w:ascii="Times New Roman;serif" w:hAnsi="Times New Roman;serif"/>
          <w:b w:val="false"/>
          <w:color w:val="000000"/>
          <w:sz w:val="20"/>
        </w:rPr>
        <w:t>264 million</w:t>
      </w:r>
      <w:r>
        <w:rPr>
          <w:rFonts w:ascii="Times New Roman;serif" w:hAnsi="Times New Roman;serif"/>
          <w:b w:val="false"/>
          <w:color w:val="000000"/>
          <w:sz w:val="20"/>
          <w:shd w:fill="FFFFFF" w:val="clear"/>
        </w:rPr>
        <w:t xml:space="preserve">, respectively.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terms of the agreements, the Company is entitled to loan fees from the borrower which are billed over the term of the contract and recognized at inception of the loan as service sales. The Company records trade accounts receivables and unbilled receivables for the invoiced and non-invoiced balances, respectively.</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Company also periodically enters into agreements to borrow quantities of uranium hexafluoride to fulfil customer orders for committed contracts. As of December 31,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and December 31,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uranium hexafluoride loans payable reflected in the Consolidated Balance Sheets were $</w:t>
      </w:r>
      <w:r>
        <w:rPr>
          <w:rFonts w:ascii="Times New Roman;serif" w:hAnsi="Times New Roman;serif"/>
          <w:b w:val="false"/>
          <w:color w:val="000000"/>
          <w:sz w:val="20"/>
        </w:rPr>
        <w:t>36</w:t>
      </w:r>
      <w:r>
        <w:rPr>
          <w:color w:val="000000"/>
          <w:shd w:fill="FFFFFF" w:val="clear"/>
        </w:rPr>
        <w:t xml:space="preserve"> </w:t>
      </w:r>
      <w:r>
        <w:rPr>
          <w:rFonts w:ascii="Times New Roman;serif" w:hAnsi="Times New Roman;serif"/>
          <w:b w:val="false"/>
          <w:color w:val="000000"/>
          <w:sz w:val="20"/>
          <w:shd w:fill="FFFFFF" w:val="clear"/>
        </w:rPr>
        <w:t>million and $</w:t>
      </w:r>
      <w:r>
        <w:rPr>
          <w:rFonts w:ascii="Times New Roman;serif" w:hAnsi="Times New Roman;serif"/>
          <w:b w:val="false"/>
          <w:color w:val="000000"/>
          <w:sz w:val="20"/>
        </w:rPr>
        <w:t>29</w:t>
      </w:r>
      <w:r>
        <w:rPr>
          <w:color w:val="000000"/>
          <w:shd w:fill="FFFFFF" w:val="clear"/>
        </w:rPr>
        <w:t xml:space="preserve"> </w:t>
      </w:r>
      <w:r>
        <w:rPr>
          <w:rFonts w:ascii="Times New Roman;serif" w:hAnsi="Times New Roman;serif"/>
          <w:b w:val="false"/>
          <w:color w:val="000000"/>
          <w:sz w:val="20"/>
          <w:shd w:fill="FFFFFF" w:val="clear"/>
        </w:rPr>
        <w:t>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operations outside of the United States (“U.S.”) with a functional currency other than the U.S. dollar are translated into U.S. dollars using year-end exchange rates. Sales, costs, and expenses are translated at the average exchange rates in effect during the year. Foreign currency translation gains and losses are included as a component of Accumulated other comprehensive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right-of-use (“ROU”) assets and associated lease liabilities in the Consolidated Balance Sheet for leases with a term of more than twelve months when a majority percentage of utilization was attributed to the Company. The ROU asset equals the lease liability adjusted for any initial direct costs, prepaid rent and lease incentives. Operating lease assets are included in Other non-current assets in the Consolidated Balance Sheets. The current portion of operating lease liabilities is included in Accrued and other current liabilities, and the noncurrent portion of operating lease liabilities is included in Other noncurrent liabilities in the Consolidated Balance Sheets. Finance lease assets are included in Property, plant, and equipment in the Consolidated Balance Sheets. Finance lease liabilities (current and noncurrent) are separately presented on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primarily uses its incremental borrowing rate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currencies. The lease term includes options to extend or terminate the lease when it is reasonably certain that the Company will exercise that option.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Lease payments may be fixed or variable; however, only fixed payments or in-substance fixed payments are included in determining the lease liability. Variable lease payments are recognized in operating expenses in the period in which the obligation for those payments is incurred. Lease expense is recognized on a straight-line basis over the lease term. For all finance leases, the Company has elected the lessee’s practical expedient to combine lease and non-lease components and account for the combined unit as a single lease component.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Defined Benefit Plans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sponsors both unfunded and funded defined benefit pension arrangements.</w:t>
      </w:r>
    </w:p>
    <w:p>
      <w:pPr>
        <w:pStyle w:val="TextBody"/>
        <w:bidi w:val="0"/>
        <w:spacing w:lineRule="auto" w:line="288" w:before="0" w:after="180"/>
        <w:jc w:val="left"/>
        <w:rPr/>
      </w:pPr>
      <w:r>
        <w:rPr>
          <w:rFonts w:ascii="Times New Roman;serif" w:hAnsi="Times New Roman;serif"/>
          <w:b w:val="false"/>
          <w:i/>
          <w:color w:val="000000"/>
          <w:sz w:val="20"/>
        </w:rPr>
        <w:t>Non-U.S. unfunded</w:t>
      </w:r>
      <w:r>
        <w:rPr>
          <w:color w:val="000000"/>
          <w:shd w:fill="FFFFFF" w:val="clear"/>
        </w:rPr>
        <w:t xml:space="preserve"> </w:t>
      </w:r>
      <w:r>
        <w:rPr>
          <w:rFonts w:ascii="Times New Roman;serif" w:hAnsi="Times New Roman;serif"/>
          <w:b w:val="false"/>
          <w:i/>
          <w:color w:val="000000"/>
          <w:sz w:val="20"/>
          <w:shd w:fill="FFFFFF" w:val="clear"/>
        </w:rPr>
        <w:t xml:space="preserve">defined benefit plans.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employees of the Company participate in unfunded defined benefit plans administered and sponsored by Solstice Advanced Materials. These plans cover non-U.S. employees and retirees in certain jurisdictions, principally in Germany. The related liabilities of these plans are included in Accrued and other current liabilities and Other noncurrent liabilities in the Consolidated Balance Sheets, refer to Note 18 – Postretirement Benefit Plans.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Company records the service cost component in Cost of products and services sold in the Consolidated Statements of Operations. </w:t>
      </w:r>
    </w:p>
    <w:p>
      <w:pPr>
        <w:pStyle w:val="TextBody"/>
        <w:bidi w:val="0"/>
        <w:spacing w:lineRule="auto" w:line="288" w:before="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 funded defined benefit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certain of the Company’s U.S. employees participated in defined benefit plans which were sponsored by Honeywell. During this period, the Company did not record assets or liabilities to recognize the funded status of these plans because Solstice was not the legal sponsor of these plans. The accompanying Consolidated Statements of Operations for the periods prior to the Spin-off reflected the cost for such plans as if they were multi-employer plans. Costs were allocated to the Company on a pro rata basis of net sales, utilizing the Business’ proportion of total Honeywell net sales in each respective year. In conjunction with the Spin-off, the benefit obligations for these employees, and a proportionate share of the related Honeywell plans’ assets, were transferred to a newly formed U.S. defined benefit pension plan sponsored by the Company. As a result, the funded status of this plan is recognized in the Consolidated Balance Sheet at December 31, 2025. The funded status is measured as the difference between the fair value of plan assets and the projected benefit obligation at the balance sheet date. The projected benefit obligation (PBO) represents the actuarial present value of benefits expected to be paid upon retirement based on employee services already rendered and estimated future compensation levels.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all defined benefit arrangements, net periodic pension cost is recorded in the Consolidated Statements of Operations and includes service cost, interest cost, expected return on plan assets, amortization of prior service costs/(credits) and actuarial (gains)/losses previously recognized as a component of other comprehensive income/(loss) (“OCI”). The service cost component of net benefit cost is recorded in “Selling, general &amp; administrative expenses” in the Consolidated Statements of Operations based on the employees’ respective functions. The other components of net benefit cost are presented separately from service cost within “Other expense (income)” in the Consolidated Statements of Operations. Actuarial (gains) losses and prior service costs/(credits) are recognized as a component of OCI in the Consolidated Statements of Comprehensive Income when they exceed 10% of the greater of the fair value of plan assets or the plans’ projected benefit obligation (the corridor) and amortized over the average remaining working lifetime of the plan. Actuarial (gains) losses arise as a result of differences between actual experience and assumptions or as a result of changes in actuarial assumptions. Prior service costs/(credits) represent the cost of benefit changes attributable to prior service granted in plan amendments.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measurement of benefit obligations and net periodic pension cost is based on estimates and assumptions including estimates of discount rates, expected return on plan assets, rate of compensation increases, interest crediting rates and mortality rates. Refer to Note 18 – Postretirement Benefit Plans for further details on the accounting for these plans.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Supply Chain Financing </w:t>
      </w:r>
    </w:p>
    <w:p>
      <w:pPr>
        <w:pStyle w:val="TextBody"/>
        <w:bidi w:val="0"/>
        <w:spacing w:lineRule="auto" w:line="288" w:before="0" w:after="180"/>
        <w:jc w:val="both"/>
        <w:rPr/>
      </w:pPr>
      <w:r>
        <w:rPr>
          <w:rFonts w:ascii="Times New Roman;serif" w:hAnsi="Times New Roman;serif"/>
          <w:b w:val="false"/>
          <w:color w:val="000000"/>
          <w:sz w:val="20"/>
        </w:rPr>
        <w:t>The Company maintains agreements with unaffiliated third-party financial institutions that offer voluntary supply chain financing (“SCF”) programs to suppliers of the Company.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w:t>
      </w:r>
      <w:r>
        <w:rPr>
          <w:color w:val="000000"/>
          <w:shd w:fill="FFFFFF" w:val="clear"/>
        </w:rPr>
        <w:t xml:space="preserve"> </w:t>
      </w:r>
      <w:r>
        <w:rPr>
          <w:rFonts w:ascii="Times New Roman;serif" w:hAnsi="Times New Roman;serif"/>
          <w:b w:val="false"/>
          <w:color w:val="000000"/>
          <w:sz w:val="20"/>
          <w:shd w:fill="FFFFFF" w:val="clear"/>
        </w:rPr>
        <w:t>30</w:t>
      </w:r>
      <w:r>
        <w:rPr>
          <w:color w:val="000000"/>
        </w:rPr>
        <w:t xml:space="preserve"> </w:t>
      </w:r>
      <w:r>
        <w:rPr>
          <w:rFonts w:ascii="Times New Roman;serif" w:hAnsi="Times New Roman;serif"/>
          <w:b w:val="false"/>
          <w:color w:val="000000"/>
          <w:sz w:val="20"/>
        </w:rPr>
        <w:t>to 180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Amounts outstanding related to SCF programs are included in Accounts payable in the Consolidated Balance Sheets. The following table summarizes the Company's outstanding obligations confirmed as valid related to the SCF programs for the years ended December 31, 2025, and 2024:</w:t>
      </w:r>
    </w:p>
    <w:tbl>
      <w:tblPr>
        <w:tblW w:w="7359" w:type="dxa"/>
        <w:jc w:val="left"/>
        <w:tblInd w:w="0" w:type="dxa"/>
        <w:tblLayout w:type="fixed"/>
        <w:tblCellMar>
          <w:top w:w="28" w:type="dxa"/>
          <w:left w:w="28" w:type="dxa"/>
          <w:bottom w:w="28" w:type="dxa"/>
          <w:right w:w="28" w:type="dxa"/>
        </w:tblCellMar>
      </w:tblPr>
      <w:tblGrid>
        <w:gridCol w:w="1907"/>
        <w:gridCol w:w="1676"/>
        <w:gridCol w:w="1681"/>
        <w:gridCol w:w="251"/>
        <w:gridCol w:w="447"/>
        <w:gridCol w:w="129"/>
        <w:gridCol w:w="129"/>
        <w:gridCol w:w="129"/>
        <w:gridCol w:w="129"/>
        <w:gridCol w:w="251"/>
        <w:gridCol w:w="447"/>
        <w:gridCol w:w="183"/>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beginning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year</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Confirmed invoices paid during the year</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Confirmed obligations outstanding at the end of the year</w:t>
            </w:r>
            <w:r>
              <w:rPr>
                <w:color w:val="000000"/>
              </w:rPr>
              <w:t xml:space="preserve"> </w:t>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and services sales are recognized when, or as, the Company transfers control of the promised products or services to its customers. Revenue is measured as the amount of consideration the Company expects to receive in exchange for transferring goods. The Company recognizes contract assets for goods exchanged under a contract that are not yet billable to the customer due to consignment inventory or specific contract terms. These assets are later reclassified as trade receivables when invoiced, usually timed with the customer's use of the product. In most circumstances, the Company recognizes revenue for products and services at the point in time in which the underlying products or services transfer to the customer.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Service sales are primarily derived from the Company’s uranium conversion services. Revenue is measured based on the consideration specified in a contract with a customer. In a toll conversion arrangement, the Company is contractually obligated to convert customer-owned uranium to a chemical state suitable for enrichment. The Company provides the converted uranium, based on the terms of the sales contract, at which point the specified quantity of converted uranium is transferred to the customer. At this point, the customer obtains control and revenue is recognized for the toll conversion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Revenues include estimates of variable consideration. The Company measures variable consideration at the most likely amount the Company will receive from customers. The terms of a contract or the historical business practice can give rise to variable consideration due to, but not limited to, cash-based incentives, rebates, performance awards, or credits. The Company estimates variable consideration using forecasts from customers and other information (historical, current and forecasted) reasonably available to the Company. Customers do not have the right to return products, except in limited circumstances.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for projects are expensed as incurred and included in Research and development expenses in the Consolidated Statements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certain expenses related to the Spin-off, as well as acquisitions and divestitures (if any) as Transaction-related costs in the Consolidated Statements of Operations. The Transaction-related costs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development of our brand and other matters.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jc w:val="both"/>
        <w:rPr/>
      </w:pPr>
      <w:r>
        <w:rPr>
          <w:rFonts w:ascii="Times New Roman;serif" w:hAnsi="Times New Roman;serif"/>
          <w:b w:val="false"/>
          <w:color w:val="000000"/>
          <w:sz w:val="20"/>
        </w:rPr>
        <w:t xml:space="preserve">For periods prior to the Spin-off, income taxes, as presented in the Consolidated Financial Statements attribute current and deferred income taxes of Honeywell to the Company’s stand-alone financial statements in a manner that is systematic, rational and consistent with the asset and liability method prescribed by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Accordingly, the Company’s income tax provision was prepared following the separate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method. The separate return method applies ASC 740 to the stand-alone financial statements of each member of the consolidated group as if the group members were separate taxpayers. As a result, actual transactions included in the consolidated financial statements of Honeywell may not have been included in the separate Consolidated Financial Statements of the Company. Similarly, the tax treatment of certain items reflected in the Consolidated Financial Statements of the Company may not have been reflected in the consolidated financial statements and tax returns of Honeywell. Therefore, items such as net operating losses, credit carryforwards and valuation allowances may exist in the stand-alone financial statements that may or may not exist in Honeywell’s consolidated financial statements. As such, the income taxes of the Company as presented in the Consolidated Financial Statements may not be indicative of the income taxes that the Company will generate in the future. Since the Company’s results were included in the Parent’s consolidated tax returns, payments to certain tax authorities were made by the Parent and not by the Company. For tax jurisdictions where the Company was included with the Parent in a consolidated tax filing, the Company did not maintain taxes payable to or from the Parent. The payments are deemed to be settled immediately with the legal entities paying the tax in the respective tax jurisdictions and are reflected in the Consolidated Statements of Cash Flows as Net transfers to Parent within financing activities and in the Consolidated Balance Sheets as Net Parent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deferred tax assets and liabilities represent differences between the tax bases of assets and liabilities and their reported amounts in the Consolidated Financial Statements, applying enacted tax rates expected to be in effect for the year in which the differences are expected to reverse. The Company reduces deferred tax assets by a valuation allowance if, based on the weight of available evidence, it is more likely than not that some portion or all the deferred tax assets will not be realized.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uses significant judgment to evaluate tax positions. The Company establishes reserves for income taxes when, despite the belief that tax positions are fully supportable, certain positions remain that do not meet the minimum recognition threshold. The Company establishes uncertain tax positions when a tax position is more likely than not to be sustained upon examination by the applicable taxing authority. In the normal course of business, the Company and its subsidiaries are examined by various federal, state, and foreign tax authorities. The Company assesses the potential outcomes of these examinations and any future examinations for the current or prior years in determining the adequacy of the provision for income taxes. The Company continually assesses the likelihood and amount of potential adjustments and adjusts the income tax provision, the current tax liability, and deferred taxes in the period in which the facts that give rise to a change in estimate become known.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accrues for litigation matters when it is probable that a liability has been incurred and the amount of the liability can be reasonably estimated. Where the available information is only sufficient to establish a range of probable liability, and no point within the range is more likely than any other, the lower end of the range has been used. When a material loss contingency is reasonably possible, but not probable, the Company does not record a liability, but instead discloses the nature of the matter and an estimate of the loss or range of loss, to the extent such estimate can be made. Legal costs, such as outside counsel fees and expenses, are charged to expense in the period that services are rendered.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accrues costs related to environmental matters when it is probable that it has incurred a liability related to a contaminated site and the amount can be reasonably estimated. See Note 20 - Commitments and Contingencies for additional information.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Spin-off, eligible employees participated in Honeywell’s stock-based compensation plans. Awards granted under the plans were based on Honeywell’s common shares and, as such, were reflected in the Parent’s Consolidated Statement of Shareowners’ Equity and not in the Company’s Combined Statements of Equity. For historical periods, stock-based compensation cost is based on the awards and terms previously granted to employees by Honeywell and allocated to Solstice. The fair value of the Honeywell stock options was determined on the grant date using the Black-Scholes model. At the time of the Company’s Spin-off, each outstanding Honeywell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 Unit (“RSU”) held by a Solstice employee was converted into a Solstice RSU based on the exchange ratio determined at the Distribution.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grant employees RSUs and stock options. RSUs typically vest over a three to four-year period. Stock options vest in equal installments over a period of four years and expire after 10 years. Recipients of RSUs receive dividend equivalents that are paid subject to the same vesting and forfeiture restrictions as the underlying award. The fair value of the RSUs is determined on the grant date based on the Company’s stock price. The fair value of the Honeywell stock options converted to Solstice stock options was determined on the modification date using the binomial option pricing model. The Company has elected to account for forfeitures as they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cost is recorded in Selling, general and administrative expenses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deferred tax assets for awards that result in tax deductions in the consolidated financial statements calculated using the separate return basis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Statements of Operations.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by dividing net income (loss) attributable to common shareowners by the weighted average number of shares of common stock outstanding for the applicable period. Diluted EPS, calculated using the treasury stock method, reflects the potential dilution that could occur if the Company’s outstanding stock-based compensation awards were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2025, 158,727,456 shares of the Company’s common stock were distributed to Honeywell shareowners as of the Record Date (October 17, 2025). This amount is utilized for the calculations of both basic and diluted EPS for all periods presented prior to the Distribution. It is assumed that there was no dilutive effect of equity securities as the Company had no stock-based compensation awards outstanding prior to the Distribution.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for the periods prior to the Spin-off reflected allocations of certain expenses from Honeywell including, but not limited to, legal, accounting, information technology (“IT”), human resources and other infrastructure support. The allocation method was based on the Company’s proportion of total Honeywell revenue in each respective period, relative to the Honeywell expense cost pool. Allocations for management costs and corporate support services provided to the Company totaled $192 million, $205 million and $201 million for the years ended December 31, 2025, 2024 and 2023, respectively, and such amounts are included within Selling, general and administrative expenses in the Consolidated Statements of Operations. These corporate allocations include stock-based compensation expense allocated to the Company for corporate and shared employees of $21 million, $12 million and $13 million and U.S. pension service costs of $2 million, $3 million and $3 million for the years ended December 31, 2025, 2024 and 2023,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Sales and Purchases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to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and service sales in the Consolidated Statements of Operations include sales to affiliates of $91 million, $125 million and $111 million for the years ended December 31, 2025 (through the Spin-off date), 2024 and 2023,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these product sales are cash-settled and reflected in the Consolidated Balance Sheets. Accounts receivable – net includes $45 million and $40 million of these transactions as of December 31, 2025 (through the Spin-off date),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Purchases from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Purchases made by the Company from its affiliates, including Honeywell, were $19 million, $22 million and $26 million for the years ended December 31, 2025, 2024 and 2023, respectively. Honeywell is not considered an affiliate following the Spin-off. Purchases made by the Company from Honeywell, were $9 million, $12 million and $13 million for the years ended December 31, 2025, 2024 and 2023,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includes $2 million and $3 million as of December 31, 2025 and 2024, respectively, related to such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normal recurring purchases, ConverDyn, the Company’s consolidated VIE (refer to Note 19 – Investments for further details), holds accrued liabilities of $69 million and $60 million as of December 31, 2025 and 2024, respectively, to an affiliate of General Atomics relating to payments owed by ConverDyn for the standby costs of maintaining a uranium conversion facility owned by such affiliate of General Atomics. These payments cannot be paid by ConverDyn until ConverDyn fully pays to the Company the costs of operating the Nuclear Facility (“AES Facility”). Until repaid, these obligations to the affiliate General Atomics accrue interest at the U.S. prime rate plus two percent.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2024, ConverDyn entered into an arrangement to borrow certain products from a customer of ConverDyn and loan such products to an affiliate of General Atomics until December 31, 2026, in exchange for a fixed fee billed annually. Service net sales within the Consolidated Statements of Operations includes $0 million and $30 million for the years ended December 31, 2025 and 2024, respectively, related to this arrangement. The Consolidated Balance Sheet includes Product loans receivable and Product loans payable related to uranium ore of approximately $178 million and $178 million, as of December 31, 2025, and approximately $156 million and $156 million, as of December 31, 2024. This results in a net position of $0 million loans payable/receivable related to these arrangements for ConverDyn as of December 31, 2025, and December 31, 2024. As of December 31, 2025 and 2024, the Consolidated Balance Sheet includes short-term and long-term unbilled Accounts receivable related to the loan fees receivable of approximately $7 million and $18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Management and Net Parent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Spin-off, Honeywell used a centralized approach for the purpose of cash management and financing of its operations. The Company’s excess cash was transferred to Honeywell daily, and Honeywell funded the Company’s operating and investing activities as needed. The total net effect of the settlement of these intercompany transactions is reflected in the Consolidated Statements of Cash Flows as a financing activity and in the Consolidated Balance Sheets as Net Parent investment.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Honeywell agreed to provide the Company support through certain parent company performance guarantees that will remain in place during a transition period of up to 24 months following the Spin-off and as guarantor of or obligor for certain letters of credit and other credit support instruments that have been issued on the Company’s behalf during a transition period of up to 12 months following the Spin-off.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Revenue Recognition and Contracts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 comprehensive offering of products and services sold to a variety of customers in multiple end markets. See the following disaggregated revenue table and related discussions by reportable business segment for details:</w:t>
      </w:r>
    </w:p>
    <w:tbl>
      <w:tblPr>
        <w:tblW w:w="6867" w:type="dxa"/>
        <w:jc w:val="left"/>
        <w:tblInd w:w="0" w:type="dxa"/>
        <w:tblLayout w:type="fixed"/>
        <w:tblCellMar>
          <w:top w:w="28" w:type="dxa"/>
          <w:left w:w="28" w:type="dxa"/>
          <w:bottom w:w="28" w:type="dxa"/>
          <w:right w:w="28" w:type="dxa"/>
        </w:tblCellMar>
      </w:tblPr>
      <w:tblGrid>
        <w:gridCol w:w="1200"/>
        <w:gridCol w:w="1054"/>
        <w:gridCol w:w="1061"/>
        <w:gridCol w:w="211"/>
        <w:gridCol w:w="631"/>
        <w:gridCol w:w="109"/>
        <w:gridCol w:w="109"/>
        <w:gridCol w:w="109"/>
        <w:gridCol w:w="109"/>
        <w:gridCol w:w="211"/>
        <w:gridCol w:w="631"/>
        <w:gridCol w:w="109"/>
        <w:gridCol w:w="109"/>
        <w:gridCol w:w="109"/>
        <w:gridCol w:w="109"/>
        <w:gridCol w:w="211"/>
        <w:gridCol w:w="631"/>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Refrigerants &amp; Applied Solutions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Refrigerants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Solutions and Intermediates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Nuclear (AES)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Packaging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Refrigerants &amp; Applied Solutions</w:t>
            </w:r>
            <w:r>
              <w:rPr>
                <w:color w:val="000000"/>
              </w:rPr>
              <w:t xml:space="preserve"> </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Electronic &amp; Specialty Materials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Performance Chemicals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Materials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Safety and Defense Solutions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Electronic &amp; Specialty Materials</w:t>
            </w:r>
            <w:r>
              <w:rPr>
                <w:color w:val="000000"/>
              </w:rPr>
              <w:t xml:space="preserve">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tracks progress on satisfying performance obligations under contracts with customers and records the related billings and cash collections in the Consolidated Balance Sheets in Accounts receivable – net unbilled receivables (contract assets) arise when the revenue associated with the contract is recognized prior to billing and derecognized when billed in accordance with the terms of the contract. Deferred revenue (contract liabilities) arise when customers remit contractual cash payments in advance of the Company satisfying performance obligations under contractual arrangements. Contract liabilities are derecognized when performance obligations are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 balances are classified as assets or liabilities on a contract-by-contract basis at the end of each reporting period. The following table summarizes the Company’s contract assets and liabilities balances:</w:t>
      </w:r>
    </w:p>
    <w:tbl>
      <w:tblPr>
        <w:tblW w:w="6023" w:type="dxa"/>
        <w:jc w:val="left"/>
        <w:tblInd w:w="0" w:type="dxa"/>
        <w:tblLayout w:type="fixed"/>
        <w:tblCellMar>
          <w:top w:w="28" w:type="dxa"/>
          <w:left w:w="28" w:type="dxa"/>
          <w:bottom w:w="28" w:type="dxa"/>
          <w:right w:w="28" w:type="dxa"/>
        </w:tblCellMar>
      </w:tblPr>
      <w:tblGrid>
        <w:gridCol w:w="1520"/>
        <w:gridCol w:w="1335"/>
        <w:gridCol w:w="1344"/>
        <w:gridCol w:w="211"/>
        <w:gridCol w:w="436"/>
        <w:gridCol w:w="109"/>
        <w:gridCol w:w="109"/>
        <w:gridCol w:w="109"/>
        <w:gridCol w:w="109"/>
        <w:gridCol w:w="211"/>
        <w:gridCol w:w="37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January 1</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assets - (decrease) increase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December 31</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January 1</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Contract liabilities - (increase) decrease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December 31</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recognized revenue of $3 million, $45 million and $3 million, respectively, that was previously included in the beginning balance of contract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When contracts are modified to account for changes in contract specifications and requirements, the Company considers whether the modification either creates new or changes the existing enforceable rights and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stand-alone selling price, they are accounted for as a new contract and performance obligations, which are recognized prospectively.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defined as the unit of account. The Company allocates a contract’s transaction price to each distinct performance obligation and recognizes revenue when, or as, the performance obligation is satisfied. When contracts with customers require highly complex integration or manufacturing services not separately identifiable from other promises in the contracts and, therefore, not distinct, then the entire contract is accounted for as a single performance obligation. For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Performance obligations satisfied as of a point in time are supported by contracts with customers, providing a framework for the nature of the distinct goods, services or bundle of goods and services. The timing of satisfying the performance obligation is typically indicated by the terms of the contract. Substantially all of the Company’s revenue relates to transfer of control of products or delivery of conversion services at a point in time. The Company’s contracts generally do not contain a significant financing component, as the period between when the Company transfers control of the product or service to the customer and when the customer pays for that product or service is one year or less.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remaining performance obligations (“RPO”), which is the aggregate amount of total contract price that is unsatisfied or partially unsatisfied was approximately $2.8 billion. Performance obligations expected to be satisfied within one year and greater than one year are 27% and 73%,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for the first three quarters of 2025 and the years ended December 31, 2024 and 2023 were prepared using a separate return method. The separate return method applies the accounting guidance for income taxes to the standalone financial statements as if the Company was a separate taxpayer and a standalone entity. The Company believes the assumptions supporting the allocation and presentation of income taxes on a separate return basis are reasonable.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all periods prior to the Spin-off, the Company was part of Honeywell’s consolidated U.S. federal income tax return, as well as separate and combined Honeywell’s income tax returns in numerous state and international jurisdictions. The Company’s current tax liabilities computed under the separate return method are considered to be effectively settled in the Consolidated Financial Statements at the time the transaction is recorded, with the offset recorded against Net investment from Honeywell.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Before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sources of income from continuing operations before income taxes are as follows:</w:t>
      </w:r>
    </w:p>
    <w:tbl>
      <w:tblPr>
        <w:tblW w:w="3958" w:type="dxa"/>
        <w:jc w:val="left"/>
        <w:tblInd w:w="0" w:type="dxa"/>
        <w:tblLayout w:type="fixed"/>
        <w:tblCellMar>
          <w:top w:w="28" w:type="dxa"/>
          <w:left w:w="28" w:type="dxa"/>
          <w:bottom w:w="28" w:type="dxa"/>
          <w:right w:w="28" w:type="dxa"/>
        </w:tblCellMar>
      </w:tblPr>
      <w:tblGrid>
        <w:gridCol w:w="309"/>
        <w:gridCol w:w="271"/>
        <w:gridCol w:w="276"/>
        <w:gridCol w:w="211"/>
        <w:gridCol w:w="481"/>
        <w:gridCol w:w="109"/>
        <w:gridCol w:w="109"/>
        <w:gridCol w:w="109"/>
        <w:gridCol w:w="109"/>
        <w:gridCol w:w="211"/>
        <w:gridCol w:w="481"/>
        <w:gridCol w:w="109"/>
        <w:gridCol w:w="109"/>
        <w:gridCol w:w="109"/>
        <w:gridCol w:w="109"/>
        <w:gridCol w:w="211"/>
        <w:gridCol w:w="481"/>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Tax expense consists of the following:</w:t>
      </w:r>
    </w:p>
    <w:tbl>
      <w:tblPr>
        <w:tblW w:w="6267" w:type="dxa"/>
        <w:jc w:val="left"/>
        <w:tblInd w:w="0" w:type="dxa"/>
        <w:tblLayout w:type="fixed"/>
        <w:tblCellMar>
          <w:top w:w="28" w:type="dxa"/>
          <w:left w:w="28" w:type="dxa"/>
          <w:bottom w:w="28" w:type="dxa"/>
          <w:right w:w="28" w:type="dxa"/>
        </w:tblCellMar>
      </w:tblPr>
      <w:tblGrid>
        <w:gridCol w:w="1145"/>
        <w:gridCol w:w="1005"/>
        <w:gridCol w:w="1015"/>
        <w:gridCol w:w="211"/>
        <w:gridCol w:w="481"/>
        <w:gridCol w:w="109"/>
        <w:gridCol w:w="109"/>
        <w:gridCol w:w="109"/>
        <w:gridCol w:w="109"/>
        <w:gridCol w:w="211"/>
        <w:gridCol w:w="481"/>
        <w:gridCol w:w="109"/>
        <w:gridCol w:w="109"/>
        <w:gridCol w:w="109"/>
        <w:gridCol w:w="109"/>
        <w:gridCol w:w="211"/>
        <w:gridCol w:w="48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tax expense</w:t>
            </w:r>
            <w:r>
              <w:rPr>
                <w:color w:val="000000"/>
              </w:rPr>
              <w:t xml:space="preserve"> </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deferred tax (benefit) expense</w:t>
            </w:r>
            <w:r>
              <w:rPr>
                <w:color w:val="000000"/>
              </w:rPr>
              <w:t xml:space="preserv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Tax expense</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Company’s adoption of ASU 2023-09, the U.S. federal statutory income tax rate is reconciled to the effective income tax rate for 2025 as follows:</w:t>
      </w:r>
    </w:p>
    <w:tbl>
      <w:tblPr>
        <w:tblW w:w="8302" w:type="dxa"/>
        <w:jc w:val="left"/>
        <w:tblInd w:w="0" w:type="dxa"/>
        <w:tblLayout w:type="fixed"/>
        <w:tblCellMar>
          <w:top w:w="28" w:type="dxa"/>
          <w:left w:w="28" w:type="dxa"/>
          <w:bottom w:w="28" w:type="dxa"/>
          <w:right w:w="28" w:type="dxa"/>
        </w:tblCellMar>
      </w:tblPr>
      <w:tblGrid>
        <w:gridCol w:w="1964"/>
        <w:gridCol w:w="1727"/>
        <w:gridCol w:w="1739"/>
        <w:gridCol w:w="109"/>
        <w:gridCol w:w="109"/>
        <w:gridCol w:w="305"/>
        <w:gridCol w:w="695"/>
        <w:gridCol w:w="157"/>
        <w:gridCol w:w="157"/>
        <w:gridCol w:w="157"/>
        <w:gridCol w:w="157"/>
        <w:gridCol w:w="262"/>
        <w:gridCol w:w="264"/>
        <w:gridCol w:w="500"/>
      </w:tblGrid>
      <w:tr>
        <w:trPr/>
        <w:tc>
          <w:tcPr>
            <w:tcW w:w="1964"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State and local income taxes, net of Federal income tax effects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Discrete tax adjustments - restructuring in advance of the Spin-off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Withholding taxes on unremitted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on unremitted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on unremitted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research and development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 and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5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1.State taxes in Illinois, Virginia, and Pennsylvania make up the majority (greater than 50%) of the tax effect in this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in 2025 was higher than the U.S. federal statutory rate of 21% and increased during 2025 compared to 2024 as a result of discrete tax adjustments related to restructuring in advance of the Spin-off from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statutory income tax rate is reconciled to the effective income tax rate for prior years as follows: </w:t>
      </w:r>
    </w:p>
    <w:tbl>
      <w:tblPr>
        <w:tblW w:w="6288" w:type="dxa"/>
        <w:jc w:val="left"/>
        <w:tblInd w:w="0" w:type="dxa"/>
        <w:tblLayout w:type="fixed"/>
        <w:tblCellMar>
          <w:top w:w="28" w:type="dxa"/>
          <w:left w:w="28" w:type="dxa"/>
          <w:bottom w:w="28" w:type="dxa"/>
          <w:right w:w="28" w:type="dxa"/>
        </w:tblCellMar>
      </w:tblPr>
      <w:tblGrid>
        <w:gridCol w:w="1291"/>
        <w:gridCol w:w="1133"/>
        <w:gridCol w:w="1145"/>
        <w:gridCol w:w="109"/>
        <w:gridCol w:w="109"/>
        <w:gridCol w:w="262"/>
        <w:gridCol w:w="264"/>
        <w:gridCol w:w="448"/>
        <w:gridCol w:w="162"/>
        <w:gridCol w:w="162"/>
        <w:gridCol w:w="162"/>
        <w:gridCol w:w="262"/>
        <w:gridCol w:w="264"/>
        <w:gridCol w:w="515"/>
      </w:tblGrid>
      <w:tr>
        <w:trPr/>
        <w:tc>
          <w:tcPr>
            <w:tcW w:w="12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Taxes on non-U.S. earnings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state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Effective income tax rate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w:t>
            </w:r>
            <w:r>
              <w:rPr>
                <w:color w:val="000000"/>
              </w:rPr>
              <w:t>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5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U.S. taxes on non-U.S. earnings, net of foreign tax credits.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Deferred Tax Assets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and tax carryforwards which give rise to future income tax benefits and payables are as follows:</w:t>
      </w:r>
    </w:p>
    <w:tbl>
      <w:tblPr>
        <w:tblW w:w="5708" w:type="dxa"/>
        <w:jc w:val="left"/>
        <w:tblInd w:w="0" w:type="dxa"/>
        <w:tblLayout w:type="fixed"/>
        <w:tblCellMar>
          <w:top w:w="28" w:type="dxa"/>
          <w:left w:w="28" w:type="dxa"/>
          <w:bottom w:w="28" w:type="dxa"/>
          <w:right w:w="28" w:type="dxa"/>
        </w:tblCellMar>
      </w:tblPr>
      <w:tblGrid>
        <w:gridCol w:w="1306"/>
        <w:gridCol w:w="1150"/>
        <w:gridCol w:w="1158"/>
        <w:gridCol w:w="211"/>
        <w:gridCol w:w="541"/>
        <w:gridCol w:w="109"/>
        <w:gridCol w:w="109"/>
        <w:gridCol w:w="109"/>
        <w:gridCol w:w="109"/>
        <w:gridCol w:w="211"/>
        <w:gridCol w:w="541"/>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 and reserves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reserves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Capitalized research &amp;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deferred tax assets</w:t>
            </w:r>
            <w:r>
              <w:rPr>
                <w:color w:val="000000"/>
              </w:rPr>
              <w:t xml:space="preserve">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deferred tax assets</w:t>
            </w:r>
            <w:r>
              <w:rPr>
                <w:color w:val="000000"/>
              </w:rPr>
              <w:t xml:space="preserve">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Outside basis difference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of foreign subsidiaries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deferred tax liabilities</w:t>
            </w:r>
            <w:r>
              <w:rPr>
                <w:color w:val="000000"/>
              </w:rPr>
              <w:t xml:space="preserve">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deferred tax liability</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tax assets as of December 31, 2025 were reduced by a valuation allowance provided for certain non-U.S. deferred tax assets. The change in the valuation allowance resulted in an increase of $10 million to income tax expense in 2025. If the Company determines that the likelihood of realization of existing deferred tax assets changes, a corresponding increase or decrease to the valuation allowance will be recognized as an increase or reduction to income tax expense in the period that determination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$56 million and $44 million deferred tax liability on all unremitted foreign earnings as of December 31, 2025 and 2024,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Paid for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cash paid for income taxes for the year ended December 31, 2025:</w:t>
      </w:r>
    </w:p>
    <w:tbl>
      <w:tblPr>
        <w:tblW w:w="3786" w:type="dxa"/>
        <w:jc w:val="left"/>
        <w:tblInd w:w="0" w:type="dxa"/>
        <w:tblLayout w:type="fixed"/>
        <w:tblCellMar>
          <w:top w:w="28" w:type="dxa"/>
          <w:left w:w="28" w:type="dxa"/>
          <w:bottom w:w="28" w:type="dxa"/>
          <w:right w:w="28" w:type="dxa"/>
        </w:tblCellMar>
      </w:tblPr>
      <w:tblGrid>
        <w:gridCol w:w="1088"/>
        <w:gridCol w:w="955"/>
        <w:gridCol w:w="972"/>
        <w:gridCol w:w="211"/>
        <w:gridCol w:w="40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Paid for Income Taxes</w:t>
            </w:r>
          </w:p>
        </w:tc>
        <w:tc>
          <w:tcPr>
            <w:tcW w:w="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Unrecognized Tax Benefits</w:t>
      </w:r>
    </w:p>
    <w:tbl>
      <w:tblPr>
        <w:tblW w:w="6912" w:type="dxa"/>
        <w:jc w:val="left"/>
        <w:tblInd w:w="0" w:type="dxa"/>
        <w:tblLayout w:type="fixed"/>
        <w:tblCellMar>
          <w:top w:w="28" w:type="dxa"/>
          <w:left w:w="28" w:type="dxa"/>
          <w:bottom w:w="28" w:type="dxa"/>
          <w:right w:w="28" w:type="dxa"/>
        </w:tblCellMar>
      </w:tblPr>
      <w:tblGrid>
        <w:gridCol w:w="1609"/>
        <w:gridCol w:w="1412"/>
        <w:gridCol w:w="1419"/>
        <w:gridCol w:w="211"/>
        <w:gridCol w:w="271"/>
        <w:gridCol w:w="109"/>
        <w:gridCol w:w="109"/>
        <w:gridCol w:w="109"/>
        <w:gridCol w:w="109"/>
        <w:gridCol w:w="211"/>
        <w:gridCol w:w="271"/>
        <w:gridCol w:w="109"/>
        <w:gridCol w:w="109"/>
        <w:gridCol w:w="109"/>
        <w:gridCol w:w="109"/>
        <w:gridCol w:w="211"/>
        <w:gridCol w:w="271"/>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unrecognized tax benefits</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current period tax positions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prior period tax positions</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Settled with Parent through Net Parent investment</w:t>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at end of year</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2024 and 2023, there were $8 million, $8 million and $8 million, respectively, of unrecognized tax benefits that if recognized would affect the effective tax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the Company was part of Honeywell’s consolidated U.S. federal income tax return, as well as separate and combined Honeywell income tax returns in numerous state and foreign jurisdictions. In connection with the Spin-off, we entered into a Tax Matters Agreement with Honeywell allocating responsibility and providing for the payment of tax liabilities and entitlement to refunds, cooperation in the filing of tax returns, and providing for certain other matters relating to taxes, including indemnities, and preservation of the intended tax treatment. Honeywell is under examination by numerous tax authorities in various jurisdictions globally.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tax years that remain subject to examination by major tax jurisdictions as of December 31, 2025:</w:t>
      </w:r>
    </w:p>
    <w:tbl>
      <w:tblPr>
        <w:tblW w:w="5553" w:type="dxa"/>
        <w:jc w:val="left"/>
        <w:tblInd w:w="0" w:type="dxa"/>
        <w:tblLayout w:type="fixed"/>
        <w:tblCellMar>
          <w:top w:w="28" w:type="dxa"/>
          <w:left w:w="28" w:type="dxa"/>
          <w:bottom w:w="28" w:type="dxa"/>
          <w:right w:w="28" w:type="dxa"/>
        </w:tblCellMar>
      </w:tblPr>
      <w:tblGrid>
        <w:gridCol w:w="353"/>
        <w:gridCol w:w="311"/>
        <w:gridCol w:w="312"/>
        <w:gridCol w:w="624"/>
        <w:gridCol w:w="624"/>
        <w:gridCol w:w="626"/>
        <w:gridCol w:w="141"/>
        <w:gridCol w:w="141"/>
        <w:gridCol w:w="141"/>
        <w:gridCol w:w="668"/>
        <w:gridCol w:w="668"/>
        <w:gridCol w:w="94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 Tax Years</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Jurisdiction</w:t>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Examination in progress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Examination not yet initiated</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2013-2024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2017-2020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2021-2025</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interest and penalties related to the underpayment of income taxes are classified as a component of Income tax expense in the Consolidated Statements of Operations and totaled less than $1 million for the years ended December 31, 2025, 2024 and 2023, respectively. Accrued interest and penalties were $0 million, $1 million, and $1 million as of December 31, 2025, 2024 and 2023,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unrecognized tax positions are recorded within Other noncurrent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inventories are comprised of the following:</w:t>
      </w:r>
    </w:p>
    <w:tbl>
      <w:tblPr>
        <w:tblW w:w="3624" w:type="dxa"/>
        <w:jc w:val="left"/>
        <w:tblInd w:w="0" w:type="dxa"/>
        <w:tblLayout w:type="fixed"/>
        <w:tblCellMar>
          <w:top w:w="28" w:type="dxa"/>
          <w:left w:w="28" w:type="dxa"/>
          <w:bottom w:w="28" w:type="dxa"/>
          <w:right w:w="28" w:type="dxa"/>
        </w:tblCellMar>
      </w:tblPr>
      <w:tblGrid>
        <w:gridCol w:w="597"/>
        <w:gridCol w:w="525"/>
        <w:gridCol w:w="528"/>
        <w:gridCol w:w="211"/>
        <w:gridCol w:w="481"/>
        <w:gridCol w:w="109"/>
        <w:gridCol w:w="109"/>
        <w:gridCol w:w="109"/>
        <w:gridCol w:w="109"/>
        <w:gridCol w:w="211"/>
        <w:gridCol w:w="48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Inventories</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Inventory reserves totaled $8 million and $14 million at December 31, 2025 and 2024, respectively, and are included within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Property, Plant and Equipment –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 net are comprised of the following:</w:t>
      </w:r>
    </w:p>
    <w:tbl>
      <w:tblPr>
        <w:tblW w:w="5993" w:type="dxa"/>
        <w:jc w:val="left"/>
        <w:tblInd w:w="0" w:type="dxa"/>
        <w:tblLayout w:type="fixed"/>
        <w:tblCellMar>
          <w:top w:w="28" w:type="dxa"/>
          <w:left w:w="28" w:type="dxa"/>
          <w:bottom w:w="28" w:type="dxa"/>
          <w:right w:w="28" w:type="dxa"/>
        </w:tblCellMar>
      </w:tblPr>
      <w:tblGrid>
        <w:gridCol w:w="1347"/>
        <w:gridCol w:w="1183"/>
        <w:gridCol w:w="1189"/>
        <w:gridCol w:w="211"/>
        <w:gridCol w:w="631"/>
        <w:gridCol w:w="109"/>
        <w:gridCol w:w="109"/>
        <w:gridCol w:w="109"/>
        <w:gridCol w:w="109"/>
        <w:gridCol w:w="211"/>
        <w:gridCol w:w="63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Property, plant and equipment</w:t>
            </w:r>
            <w:r>
              <w:rPr>
                <w:color w:val="000000"/>
              </w:rPr>
              <w:t xml:space="preserve">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Property, plant and equipment – net</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unpaid property, plant and equipment balance included in accounts payable and accrued expenses was $111 million and $39 million at December 31, 2025 and 2024, respectively. The Company recorded depreciation expense for property, plant, and equipment, of $191 million, $175 million and $170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8. Goodwill and Other Intangible Assets –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the change in goodwill for the years ended December 31, 2025 and December 31, 2024, by segment:</w:t>
      </w:r>
    </w:p>
    <w:tbl>
      <w:tblPr>
        <w:tblW w:w="10205" w:type="dxa"/>
        <w:jc w:val="left"/>
        <w:tblInd w:w="0" w:type="dxa"/>
        <w:tblLayout w:type="fixed"/>
        <w:tblCellMar>
          <w:top w:w="28" w:type="dxa"/>
          <w:left w:w="28" w:type="dxa"/>
          <w:bottom w:w="28" w:type="dxa"/>
          <w:right w:w="28" w:type="dxa"/>
        </w:tblCellMar>
      </w:tblPr>
      <w:tblGrid>
        <w:gridCol w:w="678"/>
        <w:gridCol w:w="595"/>
        <w:gridCol w:w="599"/>
        <w:gridCol w:w="304"/>
        <w:gridCol w:w="696"/>
        <w:gridCol w:w="158"/>
        <w:gridCol w:w="109"/>
        <w:gridCol w:w="109"/>
        <w:gridCol w:w="109"/>
        <w:gridCol w:w="623"/>
        <w:gridCol w:w="800"/>
        <w:gridCol w:w="325"/>
        <w:gridCol w:w="109"/>
        <w:gridCol w:w="109"/>
        <w:gridCol w:w="109"/>
        <w:gridCol w:w="304"/>
        <w:gridCol w:w="696"/>
        <w:gridCol w:w="158"/>
        <w:gridCol w:w="109"/>
        <w:gridCol w:w="109"/>
        <w:gridCol w:w="109"/>
        <w:gridCol w:w="528"/>
        <w:gridCol w:w="944"/>
        <w:gridCol w:w="275"/>
        <w:gridCol w:w="109"/>
        <w:gridCol w:w="109"/>
        <w:gridCol w:w="109"/>
        <w:gridCol w:w="300"/>
        <w:gridCol w:w="684"/>
        <w:gridCol w:w="230"/>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Goodwill</w:t>
            </w:r>
            <w:r>
              <w:rPr>
                <w:color w:val="000000"/>
              </w:rPr>
              <w:t xml:space="preserve"> </w:t>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814</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36"/>
        <w:gridCol w:w="522"/>
        <w:gridCol w:w="523"/>
        <w:gridCol w:w="324"/>
        <w:gridCol w:w="579"/>
        <w:gridCol w:w="170"/>
        <w:gridCol w:w="109"/>
        <w:gridCol w:w="109"/>
        <w:gridCol w:w="109"/>
        <w:gridCol w:w="407"/>
        <w:gridCol w:w="726"/>
        <w:gridCol w:w="212"/>
        <w:gridCol w:w="109"/>
        <w:gridCol w:w="109"/>
        <w:gridCol w:w="109"/>
        <w:gridCol w:w="311"/>
        <w:gridCol w:w="555"/>
        <w:gridCol w:w="163"/>
        <w:gridCol w:w="109"/>
        <w:gridCol w:w="109"/>
        <w:gridCol w:w="109"/>
        <w:gridCol w:w="324"/>
        <w:gridCol w:w="579"/>
        <w:gridCol w:w="170"/>
        <w:gridCol w:w="109"/>
        <w:gridCol w:w="109"/>
        <w:gridCol w:w="109"/>
        <w:gridCol w:w="407"/>
        <w:gridCol w:w="726"/>
        <w:gridCol w:w="212"/>
        <w:gridCol w:w="109"/>
        <w:gridCol w:w="109"/>
        <w:gridCol w:w="109"/>
        <w:gridCol w:w="288"/>
        <w:gridCol w:w="514"/>
        <w:gridCol w:w="222"/>
      </w:tblGrid>
      <w:tr>
        <w:trPr/>
        <w:tc>
          <w:tcPr>
            <w:tcW w:w="6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technology</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definite-life intangibles – net</w:t>
            </w:r>
            <w:r>
              <w:rPr>
                <w:color w:val="000000"/>
              </w:rPr>
              <w:t xml:space="preserve"> </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intangible assets – net</w:t>
            </w:r>
            <w:r>
              <w:rPr>
                <w:color w:val="000000"/>
              </w:rPr>
              <w:t xml:space="preserve"> </w:t>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related to intangible assets was $4 million for the year ended December 31, 2025 and $3 million for the year ended December 31, 2024 and 2023.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Estimated intangible asset amortization expense for each of the next five years is as follows:</w:t>
      </w:r>
    </w:p>
    <w:tbl>
      <w:tblPr>
        <w:tblW w:w="1681" w:type="dxa"/>
        <w:jc w:val="left"/>
        <w:tblInd w:w="0" w:type="dxa"/>
        <w:tblLayout w:type="fixed"/>
        <w:tblCellMar>
          <w:top w:w="28" w:type="dxa"/>
          <w:left w:w="28" w:type="dxa"/>
          <w:bottom w:w="28" w:type="dxa"/>
          <w:right w:w="28" w:type="dxa"/>
        </w:tblCellMar>
      </w:tblPr>
      <w:tblGrid>
        <w:gridCol w:w="342"/>
        <w:gridCol w:w="300"/>
        <w:gridCol w:w="304"/>
        <w:gridCol w:w="250"/>
        <w:gridCol w:w="303"/>
        <w:gridCol w:w="182"/>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9. Other Noncurrent Assets </w:t>
      </w:r>
    </w:p>
    <w:tbl>
      <w:tblPr>
        <w:tblW w:w="4673" w:type="dxa"/>
        <w:jc w:val="left"/>
        <w:tblInd w:w="0" w:type="dxa"/>
        <w:tblLayout w:type="fixed"/>
        <w:tblCellMar>
          <w:top w:w="28" w:type="dxa"/>
          <w:left w:w="28" w:type="dxa"/>
          <w:bottom w:w="28" w:type="dxa"/>
          <w:right w:w="28" w:type="dxa"/>
        </w:tblCellMar>
      </w:tblPr>
      <w:tblGrid>
        <w:gridCol w:w="977"/>
        <w:gridCol w:w="859"/>
        <w:gridCol w:w="863"/>
        <w:gridCol w:w="211"/>
        <w:gridCol w:w="481"/>
        <w:gridCol w:w="109"/>
        <w:gridCol w:w="109"/>
        <w:gridCol w:w="109"/>
        <w:gridCol w:w="109"/>
        <w:gridCol w:w="211"/>
        <w:gridCol w:w="481"/>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pension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Long-life catalysts –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accounts receivable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maintenance –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noncurrent assets</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total amortization expense of $24 million, $39 million, and $48 million for the years ended December 31, 2025, 2024, and 2023, respectively, which included amounts related to deferred maintenance, long</w:t>
        <w:noBreakHyphen/>
        <w:t xml:space="preserve">life catalysts, and capitalized software.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 portfolio includes corporate offices, Research and development facilities, manufacturing sites, IT equipment, rail cars, automobiles and certain other equipment. The majority of the Company’s leases have remaining lease terms of one year to 10 years. The Company’s finance leases relate to supplier arrangements where certain facilities are used exclusively to fulfill the Company’s long-term supplies. </w:t>
      </w:r>
    </w:p>
    <w:tbl>
      <w:tblPr>
        <w:tblW w:w="5667" w:type="dxa"/>
        <w:jc w:val="left"/>
        <w:tblInd w:w="0" w:type="dxa"/>
        <w:tblLayout w:type="fixed"/>
        <w:tblCellMar>
          <w:top w:w="28" w:type="dxa"/>
          <w:left w:w="28" w:type="dxa"/>
          <w:bottom w:w="28" w:type="dxa"/>
          <w:right w:w="28" w:type="dxa"/>
        </w:tblCellMar>
      </w:tblPr>
      <w:tblGrid>
        <w:gridCol w:w="1042"/>
        <w:gridCol w:w="916"/>
        <w:gridCol w:w="922"/>
        <w:gridCol w:w="211"/>
        <w:gridCol w:w="376"/>
        <w:gridCol w:w="109"/>
        <w:gridCol w:w="109"/>
        <w:gridCol w:w="109"/>
        <w:gridCol w:w="109"/>
        <w:gridCol w:w="211"/>
        <w:gridCol w:w="376"/>
        <w:gridCol w:w="109"/>
        <w:gridCol w:w="109"/>
        <w:gridCol w:w="109"/>
        <w:gridCol w:w="109"/>
        <w:gridCol w:w="211"/>
        <w:gridCol w:w="37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liability</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finance lease cost</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lease cost</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741" w:type="dxa"/>
        <w:jc w:val="left"/>
        <w:tblInd w:w="0" w:type="dxa"/>
        <w:tblLayout w:type="fixed"/>
        <w:tblCellMar>
          <w:top w:w="28" w:type="dxa"/>
          <w:left w:w="28" w:type="dxa"/>
          <w:bottom w:w="28" w:type="dxa"/>
          <w:right w:w="28" w:type="dxa"/>
        </w:tblCellMar>
      </w:tblPr>
      <w:tblGrid>
        <w:gridCol w:w="2174"/>
        <w:gridCol w:w="1908"/>
        <w:gridCol w:w="1917"/>
        <w:gridCol w:w="211"/>
        <w:gridCol w:w="361"/>
        <w:gridCol w:w="109"/>
        <w:gridCol w:w="109"/>
        <w:gridCol w:w="109"/>
        <w:gridCol w:w="109"/>
        <w:gridCol w:w="211"/>
        <w:gridCol w:w="361"/>
        <w:gridCol w:w="109"/>
        <w:gridCol w:w="109"/>
        <w:gridCol w:w="109"/>
        <w:gridCol w:w="109"/>
        <w:gridCol w:w="211"/>
        <w:gridCol w:w="36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Supplemental consolidated balance sheet information related to leases was as follows:</w:t>
      </w:r>
    </w:p>
    <w:tbl>
      <w:tblPr>
        <w:tblW w:w="6467" w:type="dxa"/>
        <w:jc w:val="left"/>
        <w:tblInd w:w="0" w:type="dxa"/>
        <w:tblLayout w:type="fixed"/>
        <w:tblCellMar>
          <w:top w:w="28" w:type="dxa"/>
          <w:left w:w="28" w:type="dxa"/>
          <w:bottom w:w="28" w:type="dxa"/>
          <w:right w:w="28" w:type="dxa"/>
        </w:tblCellMar>
      </w:tblPr>
      <w:tblGrid>
        <w:gridCol w:w="1516"/>
        <w:gridCol w:w="1331"/>
        <w:gridCol w:w="1337"/>
        <w:gridCol w:w="211"/>
        <w:gridCol w:w="481"/>
        <w:gridCol w:w="271"/>
        <w:gridCol w:w="109"/>
        <w:gridCol w:w="109"/>
        <w:gridCol w:w="109"/>
        <w:gridCol w:w="211"/>
        <w:gridCol w:w="466"/>
        <w:gridCol w:w="316"/>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operating lease liabilities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Property, plant and equipment – net</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finance lease liabilities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were as follows:</w:t>
      </w:r>
    </w:p>
    <w:tbl>
      <w:tblPr>
        <w:tblW w:w="5996" w:type="dxa"/>
        <w:jc w:val="left"/>
        <w:tblInd w:w="0" w:type="dxa"/>
        <w:tblLayout w:type="fixed"/>
        <w:tblCellMar>
          <w:top w:w="28" w:type="dxa"/>
          <w:left w:w="28" w:type="dxa"/>
          <w:bottom w:w="28" w:type="dxa"/>
          <w:right w:w="28" w:type="dxa"/>
        </w:tblCellMar>
      </w:tblPr>
      <w:tblGrid>
        <w:gridCol w:w="1111"/>
        <w:gridCol w:w="975"/>
        <w:gridCol w:w="988"/>
        <w:gridCol w:w="413"/>
        <w:gridCol w:w="737"/>
        <w:gridCol w:w="215"/>
        <w:gridCol w:w="109"/>
        <w:gridCol w:w="109"/>
        <w:gridCol w:w="109"/>
        <w:gridCol w:w="307"/>
        <w:gridCol w:w="699"/>
        <w:gridCol w:w="224"/>
      </w:tblGrid>
      <w:tr>
        <w:trPr/>
        <w:tc>
          <w:tcPr>
            <w:tcW w:w="11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lease payments</w:t>
            </w:r>
            <w:r>
              <w:rPr>
                <w:color w:val="000000"/>
              </w:rPr>
              <w:t xml:space="preserve"> </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maturities of lease liabilities</w:t>
            </w:r>
            <w:r>
              <w:rPr>
                <w:color w:val="000000"/>
              </w:rPr>
              <w:t xml:space="preserve"> </w:t>
            </w:r>
          </w:p>
        </w:tc>
        <w:tc>
          <w:tcPr>
            <w:tcW w:w="4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the components of our debt:</w:t>
      </w:r>
    </w:p>
    <w:tbl>
      <w:tblPr>
        <w:tblW w:w="7869" w:type="dxa"/>
        <w:jc w:val="left"/>
        <w:tblInd w:w="0" w:type="dxa"/>
        <w:tblLayout w:type="fixed"/>
        <w:tblCellMar>
          <w:top w:w="28" w:type="dxa"/>
          <w:left w:w="28" w:type="dxa"/>
          <w:bottom w:w="28" w:type="dxa"/>
          <w:right w:w="28" w:type="dxa"/>
        </w:tblCellMar>
      </w:tblPr>
      <w:tblGrid>
        <w:gridCol w:w="2111"/>
        <w:gridCol w:w="1859"/>
        <w:gridCol w:w="1865"/>
        <w:gridCol w:w="211"/>
        <w:gridCol w:w="616"/>
        <w:gridCol w:w="109"/>
        <w:gridCol w:w="109"/>
        <w:gridCol w:w="109"/>
        <w:gridCol w:w="109"/>
        <w:gridCol w:w="211"/>
        <w:gridCol w:w="406"/>
        <w:gridCol w:w="154"/>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 Facility due 2032</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5.625% Senior Notes due 2033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liabilities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long-term debt and finance lease liabilities, current</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1.See “Senior Credit Facilities” below for information regarding weighted average interest rates for the term loan facility.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2.See Note 10 - Leases for additional information regarding the Company’s finance lease liabilities.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2025, the Company issued $1.0 billion of 5.625% Senior Notes (the “Notes”) due September 30, 2033. The Notes were sold in private placements to qualified institutional buyers in accordance with Rule 144A under the Securities Act of 1933, as amended (the “Securities Act”), and outside the United States to non-U.S. persons in reliance on Regulation S under the Securities Act. The proceeds of the Notes were held in escrow pending completion of the Spin-off, and such proceeds were released from escrow on October 29, 2025 in connection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Notes are senior unsecured obligations of the Company and are, or will be, guaranteed on a senior unsecured basis by each of the Company’s existing and future domestic subsidiaries that guarantee the Company’s Senior Credit Facilities (described below). The Notes are subject to customary affirmative and negative covenants that limit the Company’s ability and the ability of its restricted subsidiaries to incur or guarantee additional indebtedness; pay dividends or distributions on, or redeem or repurchase, capital stock and make other restricted payments; make investments; consummate certain asset sales; engage in certain transactions with affiliates; grant or assume certain liens; and consolidate, merge or transfer all or substantially all of the Company’s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Senior Credit Facilities are unconditionally guaranteed, jointly and severally, by: (a) the Company and (b) all direct and indirect wholly owned subsidiaries of the Company that are organized under the laws of the United States, any state thereof or the District of Columbia, subject to certain exceptions and limitations (collectively, the “Guarantors”). Subject to certain limitations, the Senior Credit Facilities are secured on a first priority basis by: (x) a perfected security interest in the equity interests of each direct subsidiary of the Company and each Guarantor under the Senior Credit Facilities (subject to certain customary exceptions) and (y) perfected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interests in, and mortgages on, substantially all tangible and intangible personal property and material real property of the Company and each of the Guarantors under the Senior Credit Facilities, subject, in each case, to certain exceptions.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Facilities bear interest at the Adjusted Term SOFR rate (“SOFR”) (subject to a 0% floor) plus the applicable SOFR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applicable margin for the Term Loan Facility is 1.75% per annum (for SOFR loans). The applicable margin for the Revolving Credit Facility varies from 1.50% per annum to 2.00% per annum (for SOFR loans) based on the Company’s Consolidated First Lien Leverage Ratio (as defined in the Credit Agreement). Accordingly, the interest rates for the Credit Facilities will fluctuate during the term of the Credit Agreement based on changes in the SOFR or future changes in the Company’s Consolidated First Lien Leverage Ratio. Interest payments with respect to the Credit Facilities are required at the end of each interest period (for SOFR loans) or, if the duration of the applicable interest period exceeds three months, then every three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outstanding borrowings under the Revolving Credit Facility, the Company is required to pay a quarterly commitment fee based on the unused portion of the Revolving Credit Facility, which is determined by the Company’s Consolidated First Lien Leverage Ratio and ranges from 0.25% to 0.35% per annum.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borrowings under the Revolving Credit Facility, the interest rate on this facility was 5.59%, and there were $270 million of unused letters of credit under the Sidecar LC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a 1.00% prepayment premium in connection with certain repricing transactions with respect to the Term Loan 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that, among other things, limit the Company and its subsidiaries’ ability to incur additional indebtedness or liens, to dispose of assets, to make certain fundamental changes, enter into restrictive agreements, to make certain investments, loans, advances, guarantees and acquisitions, to prepay certain indebtedness and to pay dividends, to make other distributions or redemptions/repurchases, in respect of the Company and its subsidiaries’ equity interests, to engage in transactions with affiliates or amend certain material documents. In addition, the Credit Agreement also contains financial covenants for the benefit of the lenders under the Revolving Credit Facility requiring the maintenance of a Consolidated First Lien Leverage Ratio of not greater than 3.50 to 1.00 (with a temporary step-up following a material acquisition to 4.00 to 1.00), and a Consolidated Interest Coverage Ratio (as defined in the Credit Agreement) of not less than 2.75 to 1.00. As of December 31, 2025, the Company was in compliance with all of the financial covenants required by the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Sidecar LC Facilities provide for maintenance fees which accrue per annum on the aggregate amount of any letter of credit outstanding thereunder, payable quarterly, and fees which range from 0.60% to 0.95%, depending on the issuer and the type of letter of credit. In addition to the maintenance fee, Sidecar LC Facilities also provide for each issuer’s standard fees with respect to the issuance, amendment, renewal or extension of any letter of credit.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Maturities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debt principal maturities for the next five years and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center"/>
        <w:rPr/>
      </w:pPr>
      <w:r>
        <w:rPr/>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12. Accrued and Other Current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are comprised of the following:</w:t>
      </w:r>
    </w:p>
    <w:tbl>
      <w:tblPr>
        <w:tblW w:w="6189" w:type="dxa"/>
        <w:jc w:val="left"/>
        <w:tblInd w:w="0" w:type="dxa"/>
        <w:tblLayout w:type="fixed"/>
        <w:tblCellMar>
          <w:top w:w="28" w:type="dxa"/>
          <w:left w:w="28" w:type="dxa"/>
          <w:bottom w:w="28" w:type="dxa"/>
          <w:right w:w="28" w:type="dxa"/>
        </w:tblCellMar>
      </w:tblPr>
      <w:tblGrid>
        <w:gridCol w:w="1524"/>
        <w:gridCol w:w="1344"/>
        <w:gridCol w:w="1347"/>
        <w:gridCol w:w="211"/>
        <w:gridCol w:w="481"/>
        <w:gridCol w:w="109"/>
        <w:gridCol w:w="109"/>
        <w:gridCol w:w="109"/>
        <w:gridCol w:w="109"/>
        <w:gridCol w:w="211"/>
        <w:gridCol w:w="48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rebates reserve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ConverDyn JV partner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benefit and other employee related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long-term debt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Separation-related accrual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reserves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Accrued and other current liabilities</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Other Noncurrent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 are comprised of the following:</w:t>
      </w:r>
    </w:p>
    <w:tbl>
      <w:tblPr>
        <w:tblW w:w="5004" w:type="dxa"/>
        <w:jc w:val="left"/>
        <w:tblInd w:w="0" w:type="dxa"/>
        <w:tblLayout w:type="fixed"/>
        <w:tblCellMar>
          <w:top w:w="28" w:type="dxa"/>
          <w:left w:w="28" w:type="dxa"/>
          <w:bottom w:w="28" w:type="dxa"/>
          <w:right w:w="28" w:type="dxa"/>
        </w:tblCellMar>
      </w:tblPr>
      <w:tblGrid>
        <w:gridCol w:w="1097"/>
        <w:gridCol w:w="964"/>
        <w:gridCol w:w="969"/>
        <w:gridCol w:w="211"/>
        <w:gridCol w:w="481"/>
        <w:gridCol w:w="109"/>
        <w:gridCol w:w="109"/>
        <w:gridCol w:w="109"/>
        <w:gridCol w:w="109"/>
        <w:gridCol w:w="211"/>
        <w:gridCol w:w="48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employee-related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noncurrent liabilities</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measurements and disclosures establishes a three-level fair value hierarchy: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are based on quoted prices in active markets for identical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are based on observable inputs other than quoted prices in active markets for identical or similar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One or more inputs are unobservable and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accounted for at fair value on a recurring basis:</w:t>
      </w:r>
    </w:p>
    <w:tbl>
      <w:tblPr>
        <w:tblW w:w="9373" w:type="dxa"/>
        <w:jc w:val="left"/>
        <w:tblInd w:w="0" w:type="dxa"/>
        <w:tblLayout w:type="fixed"/>
        <w:tblCellMar>
          <w:top w:w="28" w:type="dxa"/>
          <w:left w:w="28" w:type="dxa"/>
          <w:bottom w:w="28" w:type="dxa"/>
          <w:right w:w="28" w:type="dxa"/>
        </w:tblCellMar>
      </w:tblPr>
      <w:tblGrid>
        <w:gridCol w:w="1152"/>
        <w:gridCol w:w="1011"/>
        <w:gridCol w:w="1016"/>
        <w:gridCol w:w="109"/>
        <w:gridCol w:w="109"/>
        <w:gridCol w:w="109"/>
        <w:gridCol w:w="439"/>
        <w:gridCol w:w="439"/>
        <w:gridCol w:w="442"/>
        <w:gridCol w:w="109"/>
        <w:gridCol w:w="109"/>
        <w:gridCol w:w="109"/>
        <w:gridCol w:w="211"/>
        <w:gridCol w:w="466"/>
        <w:gridCol w:w="109"/>
        <w:gridCol w:w="109"/>
        <w:gridCol w:w="109"/>
        <w:gridCol w:w="109"/>
        <w:gridCol w:w="217"/>
        <w:gridCol w:w="480"/>
        <w:gridCol w:w="114"/>
        <w:gridCol w:w="109"/>
        <w:gridCol w:w="109"/>
        <w:gridCol w:w="109"/>
        <w:gridCol w:w="211"/>
        <w:gridCol w:w="466"/>
        <w:gridCol w:w="109"/>
        <w:gridCol w:w="109"/>
        <w:gridCol w:w="109"/>
        <w:gridCol w:w="109"/>
        <w:gridCol w:w="217"/>
        <w:gridCol w:w="480"/>
        <w:gridCol w:w="159"/>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contracts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1.Designated cash flow hedges.</w:t>
      </w:r>
    </w:p>
    <w:p>
      <w:pPr>
        <w:pStyle w:val="TextBody"/>
        <w:bidi w:val="0"/>
        <w:spacing w:before="0" w:after="180"/>
        <w:jc w:val="left"/>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Company has agreements to lend quantities of uranium ore, which are reflected as product loans receivable, and to borrow quantities of uranium ore, which are reflected as product loans payable. As both the </w:t>
      </w:r>
      <w:r>
        <w:rPr>
          <w:rFonts w:ascii="Times New Roman;serif" w:hAnsi="Times New Roman;serif"/>
          <w:b w:val="false"/>
          <w:color w:val="000000"/>
          <w:sz w:val="20"/>
        </w:rPr>
        <w:t xml:space="preserve">loans receivable and loans payable </w:t>
      </w:r>
      <w:r>
        <w:rPr>
          <w:rFonts w:ascii="Times New Roman;serif" w:hAnsi="Times New Roman;serif"/>
          <w:b w:val="false"/>
          <w:color w:val="000000"/>
          <w:sz w:val="20"/>
          <w:shd w:fill="FFFFFF" w:val="clear"/>
        </w:rPr>
        <w:t>may be settled in cash, they are both separately measured on a quarterly basis at fair value which is derived using underlying uranium ore published industry average prices. As such, these instruments are classified within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values foreign currency exchange contracts using broker quotations, or market transactions in either the listed or over-the-counter markets. As such, these derivative instruments are classified within Level 2. Through the Spin-off date, the Company used foreign currency exchange forward contracts to hedge foreign currency exposure under Honeywell’s hedging programs. For the contracts designated as cash flow hedges, the Company records changes in fair value of the derivatives in Accumulated other comprehensive loss and subsequently recognized in earnings when the hedged items impact earnings. For contracts not designated as hedges, the Company records the changes in fair value in the Consolidated Statements of Operations based on the nature of the derivative contract and the underlying item. Derivative assets are presented in Other current assets. Derivative liabilities are presented in Accrued and other current liabilities. In connection with the Spin-off, the Company settled its foreign currency exchange forward contracts under the Honeywell hedging programs and held no foreign exchange contracts as of December 31, 2025. As of December 31, 2024, the Company held contracts with notional amounts of $741 million to exchange foreign currencies.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outstanding debt (excluding finance lease liabilities) is estimated using quoted market prices for the same or similar debt issuances, which is a Level 2 measurement. The Company’s outstanding debt (excluding finance lease liabilities) had a carrying value and an estimated fair value of $2.0 billion as of December 31, 2025. See Note 11 - Debt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15. Stock-Based Compensation Plans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Distribution, certain eligible employees received stock-based compensation awards under Honeywell’s incentive compensation plans. For all periods prior to the Distribution, the Consolidated Statements of Operations reflect an allocation of these expenses on a specific identification basis for employees who exclusively supported the Company or, when specific identification is not practicable, a proportional cost allocation method primarily based on revenue or directly identifiable actual costs, depending on the nature of the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Distribution, nonvested awards granted under Honeywell’s incentive compensation plans to Solstice employees were converted into equivalent awards under the Company’s stock incentive plan. Incremental stock-based compensation expense recorded as a result of the share conversion was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Spin-off, both the Board of Directors of the Company and the then-sole shareowner of the Company approved the adoption of the Solstice 2025 Stock Incentive Plan (“the 2025 Plan”). Under the 2025 Plan, the Company can grant RSUs, performance awards, and stock options to employees. As of December 31, 2025, the maximum number of shares that can be issued under the 2025 Plan is 11,195,260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activity related to the Company’s stock options as of December 31, 2025, and changes during the year then ended is presented below.</w:t>
      </w:r>
    </w:p>
    <w:tbl>
      <w:tblPr>
        <w:tblW w:w="10205" w:type="dxa"/>
        <w:jc w:val="left"/>
        <w:tblInd w:w="0" w:type="dxa"/>
        <w:tblLayout w:type="fixed"/>
        <w:tblCellMar>
          <w:top w:w="28" w:type="dxa"/>
          <w:left w:w="28" w:type="dxa"/>
          <w:bottom w:w="28" w:type="dxa"/>
          <w:right w:w="28" w:type="dxa"/>
        </w:tblCellMar>
      </w:tblPr>
      <w:tblGrid>
        <w:gridCol w:w="658"/>
        <w:gridCol w:w="578"/>
        <w:gridCol w:w="580"/>
        <w:gridCol w:w="109"/>
        <w:gridCol w:w="109"/>
        <w:gridCol w:w="109"/>
        <w:gridCol w:w="456"/>
        <w:gridCol w:w="456"/>
        <w:gridCol w:w="458"/>
        <w:gridCol w:w="109"/>
        <w:gridCol w:w="109"/>
        <w:gridCol w:w="109"/>
        <w:gridCol w:w="408"/>
        <w:gridCol w:w="1193"/>
        <w:gridCol w:w="211"/>
        <w:gridCol w:w="109"/>
        <w:gridCol w:w="109"/>
        <w:gridCol w:w="109"/>
        <w:gridCol w:w="735"/>
        <w:gridCol w:w="735"/>
        <w:gridCol w:w="738"/>
        <w:gridCol w:w="109"/>
        <w:gridCol w:w="109"/>
        <w:gridCol w:w="109"/>
        <w:gridCol w:w="426"/>
        <w:gridCol w:w="943"/>
        <w:gridCol w:w="322"/>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Units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Outstanding at October 30, 2025</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1.Effective date of conversion upon the Distribution.</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no stock options were exercisable.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stock options was estimated on the date of modification using a binomial option pricing model that uses the weighted-average assumptions noted in the following table.</w:t>
      </w:r>
    </w:p>
    <w:tbl>
      <w:tblPr>
        <w:tblW w:w="4857" w:type="dxa"/>
        <w:jc w:val="left"/>
        <w:tblInd w:w="0" w:type="dxa"/>
        <w:tblLayout w:type="fixed"/>
        <w:tblCellMar>
          <w:top w:w="28" w:type="dxa"/>
          <w:left w:w="28" w:type="dxa"/>
          <w:bottom w:w="28" w:type="dxa"/>
          <w:right w:w="28" w:type="dxa"/>
        </w:tblCellMar>
      </w:tblPr>
      <w:tblGrid>
        <w:gridCol w:w="756"/>
        <w:gridCol w:w="663"/>
        <w:gridCol w:w="666"/>
        <w:gridCol w:w="109"/>
        <w:gridCol w:w="109"/>
        <w:gridCol w:w="109"/>
        <w:gridCol w:w="497"/>
        <w:gridCol w:w="497"/>
        <w:gridCol w:w="1451"/>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expected volatility was derived from a peer group’s volatility as the Company does not have sufficient historical volatility based on the expected term of the underlying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RSUs as of December 31, 2025, and changes during the year then ended, is presented below.</w:t>
      </w:r>
    </w:p>
    <w:tbl>
      <w:tblPr>
        <w:tblW w:w="9128" w:type="dxa"/>
        <w:jc w:val="left"/>
        <w:tblInd w:w="0" w:type="dxa"/>
        <w:tblLayout w:type="fixed"/>
        <w:tblCellMar>
          <w:top w:w="28" w:type="dxa"/>
          <w:left w:w="28" w:type="dxa"/>
          <w:bottom w:w="28" w:type="dxa"/>
          <w:right w:w="28" w:type="dxa"/>
        </w:tblCellMar>
      </w:tblPr>
      <w:tblGrid>
        <w:gridCol w:w="1038"/>
        <w:gridCol w:w="911"/>
        <w:gridCol w:w="916"/>
        <w:gridCol w:w="109"/>
        <w:gridCol w:w="109"/>
        <w:gridCol w:w="109"/>
        <w:gridCol w:w="789"/>
        <w:gridCol w:w="789"/>
        <w:gridCol w:w="792"/>
        <w:gridCol w:w="109"/>
        <w:gridCol w:w="109"/>
        <w:gridCol w:w="109"/>
        <w:gridCol w:w="696"/>
        <w:gridCol w:w="2033"/>
        <w:gridCol w:w="510"/>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Nonvested at October 30, 2025</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5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1.Effective date of conversion upon the Distribution. Includes 258 thousand RSUs granted on October 30, 2025 pursuant to the 2025 Plan at a grant-date fair value of $50.70.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center"/>
        <w:rPr/>
      </w:pPr>
      <w:r>
        <w:rPr/>
      </w:r>
    </w:p>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cost, which is recognized in Selling, general, and administrative expenses in the Consolidated Statements of Operations, was $27 million, $17 million and $18 million for the years ended December 31, 2025, 2024 and 2023,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$31 million of total unrecognized compensation expense, which is expected to be recognized over a weighted-average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Earnings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reconciliations of the numerators and denominators of the Company’s basic and diluted EPS calculations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414"/>
        <w:gridCol w:w="2110"/>
        <w:gridCol w:w="2116"/>
        <w:gridCol w:w="109"/>
        <w:gridCol w:w="109"/>
        <w:gridCol w:w="109"/>
        <w:gridCol w:w="211"/>
        <w:gridCol w:w="526"/>
        <w:gridCol w:w="109"/>
        <w:gridCol w:w="109"/>
        <w:gridCol w:w="109"/>
        <w:gridCol w:w="109"/>
        <w:gridCol w:w="211"/>
        <w:gridCol w:w="526"/>
        <w:gridCol w:w="109"/>
        <w:gridCol w:w="109"/>
        <w:gridCol w:w="109"/>
        <w:gridCol w:w="109"/>
        <w:gridCol w:w="211"/>
        <w:gridCol w:w="526"/>
        <w:gridCol w:w="155"/>
      </w:tblGrid>
      <w:tr>
        <w:trPr/>
        <w:tc>
          <w:tcPr>
            <w:tcW w:w="2414"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Solstice Advanced Materials Inc.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diluted EPS were 0.8 million at December 31, 2025 because the effect of including those potential shares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Authorized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authorized capital stock consists of 500,000,000 shares of common stock, par value $0.01 per share, and 10,000,000 shares of preferred stock, without par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number of shares of common stock outstanding during the year ended December 31, 2025.</w:t>
      </w:r>
    </w:p>
    <w:tbl>
      <w:tblPr>
        <w:tblW w:w="5158" w:type="dxa"/>
        <w:jc w:val="left"/>
        <w:tblInd w:w="0" w:type="dxa"/>
        <w:tblLayout w:type="fixed"/>
        <w:tblCellMar>
          <w:top w:w="28" w:type="dxa"/>
          <w:left w:w="28" w:type="dxa"/>
          <w:bottom w:w="28" w:type="dxa"/>
          <w:right w:w="28" w:type="dxa"/>
        </w:tblCellMar>
      </w:tblPr>
      <w:tblGrid>
        <w:gridCol w:w="1052"/>
        <w:gridCol w:w="924"/>
        <w:gridCol w:w="933"/>
        <w:gridCol w:w="657"/>
        <w:gridCol w:w="657"/>
        <w:gridCol w:w="935"/>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Common Stock Outstanding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9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3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158.7</w:t>
            </w:r>
            <w:r>
              <w:rPr>
                <w:color w:val="000000"/>
              </w:rPr>
              <w:t> </w:t>
            </w:r>
          </w:p>
        </w:tc>
        <w:tc>
          <w:tcPr>
            <w:tcW w:w="9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Accumulated Other Comprehensive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Accumulated other comprehensive loss are provided in the table below. </w:t>
      </w:r>
    </w:p>
    <w:tbl>
      <w:tblPr>
        <w:tblW w:w="8181" w:type="dxa"/>
        <w:jc w:val="left"/>
        <w:tblInd w:w="0" w:type="dxa"/>
        <w:tblLayout w:type="fixed"/>
        <w:tblCellMar>
          <w:top w:w="28" w:type="dxa"/>
          <w:left w:w="28" w:type="dxa"/>
          <w:bottom w:w="28" w:type="dxa"/>
          <w:right w:w="28" w:type="dxa"/>
        </w:tblCellMar>
      </w:tblPr>
      <w:tblGrid>
        <w:gridCol w:w="1874"/>
        <w:gridCol w:w="1648"/>
        <w:gridCol w:w="1653"/>
        <w:gridCol w:w="211"/>
        <w:gridCol w:w="436"/>
        <w:gridCol w:w="109"/>
        <w:gridCol w:w="109"/>
        <w:gridCol w:w="109"/>
        <w:gridCol w:w="109"/>
        <w:gridCol w:w="211"/>
        <w:gridCol w:w="406"/>
        <w:gridCol w:w="109"/>
        <w:gridCol w:w="109"/>
        <w:gridCol w:w="109"/>
        <w:gridCol w:w="109"/>
        <w:gridCol w:w="229"/>
        <w:gridCol w:w="474"/>
        <w:gridCol w:w="167"/>
      </w:tblGrid>
      <w:tr>
        <w:trPr/>
        <w:tc>
          <w:tcPr>
            <w:tcW w:w="187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Tax</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effective cash flow hedges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net current period other comprehensive income (loss)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effective cash flow hedges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net current period other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effective cash flow hedges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net current period other comprehensive income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Components of Accumulated Other Comprehensive Loss</w:t>
      </w:r>
    </w:p>
    <w:tbl>
      <w:tblPr>
        <w:tblW w:w="6518" w:type="dxa"/>
        <w:jc w:val="left"/>
        <w:tblInd w:w="0" w:type="dxa"/>
        <w:tblLayout w:type="fixed"/>
        <w:tblCellMar>
          <w:top w:w="28" w:type="dxa"/>
          <w:left w:w="28" w:type="dxa"/>
          <w:bottom w:w="28" w:type="dxa"/>
          <w:right w:w="28" w:type="dxa"/>
        </w:tblCellMar>
      </w:tblPr>
      <w:tblGrid>
        <w:gridCol w:w="1601"/>
        <w:gridCol w:w="1407"/>
        <w:gridCol w:w="1416"/>
        <w:gridCol w:w="211"/>
        <w:gridCol w:w="541"/>
        <w:gridCol w:w="109"/>
        <w:gridCol w:w="109"/>
        <w:gridCol w:w="109"/>
        <w:gridCol w:w="109"/>
        <w:gridCol w:w="211"/>
        <w:gridCol w:w="541"/>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exchange translation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of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Accumulated other comprehensive loss</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347"/>
        <w:gridCol w:w="907"/>
        <w:gridCol w:w="916"/>
        <w:gridCol w:w="522"/>
        <w:gridCol w:w="1191"/>
        <w:gridCol w:w="270"/>
        <w:gridCol w:w="109"/>
        <w:gridCol w:w="109"/>
        <w:gridCol w:w="109"/>
        <w:gridCol w:w="457"/>
        <w:gridCol w:w="587"/>
        <w:gridCol w:w="236"/>
        <w:gridCol w:w="109"/>
        <w:gridCol w:w="109"/>
        <w:gridCol w:w="109"/>
        <w:gridCol w:w="578"/>
        <w:gridCol w:w="1031"/>
        <w:gridCol w:w="302"/>
        <w:gridCol w:w="109"/>
        <w:gridCol w:w="109"/>
        <w:gridCol w:w="109"/>
        <w:gridCol w:w="211"/>
        <w:gridCol w:w="508"/>
        <w:gridCol w:w="161"/>
      </w:tblGrid>
      <w:tr>
        <w:trPr/>
        <w:tc>
          <w:tcPr>
            <w:tcW w:w="134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January 1, 2023</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(163)</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2023</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(127)</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related to pension adjustments are included within Other expense (income) in the Consolidated Statements of Operations. Amounts reclassified out of Accumulated other comprehensive loss related to cash flow hedges are included within Net sales or Cost of products and services sold in the Consolidated Statements of Operations, depending on the nature of the underlying transaction being hedged.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Postretirement Benefit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periods prior to the Spin-off, certain employees of the Solstice Advanced Materials Business participated in U.S. pension plans sponsored by Honeywell. For the purposes of the Consolidated Financial Statements, the Company accounted for these plans as multiemployer plans as they are not sponsored by the Business. Therefore, the related assets and liabilities were not reflected in the Consolidated Balance Sheets. The Consolidated Statements of Operations reflect a proportionate allocation of $2 million, $3 million, and $3 million for the years ended December 31, 2025, 2024 and 2023, respectively, related to service costs for the multiemployer plans associated with the Solstice Advanced Materials Business’ employees.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Spin-off, the Company sponsors a defined benefit pension plan for these U.S. employees, with benefit obligations and corresponding assets transferred, as part of the Spin-off, from the Honeywell plans in which these employees participated. For all periods, the Company has also sponsored an unfunded defined benefit pension plan in Germany, which is closed to new participants.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periodic benefit cost for the retirement-related benefit plans recognized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center"/>
        <w:rPr/>
      </w:pPr>
      <w:r>
        <w:rPr/>
      </w:r>
    </w:p>
    <w:tbl>
      <w:tblPr>
        <w:tblW w:w="8931" w:type="dxa"/>
        <w:jc w:val="left"/>
        <w:tblInd w:w="0" w:type="dxa"/>
        <w:tblLayout w:type="fixed"/>
        <w:tblCellMar>
          <w:top w:w="28" w:type="dxa"/>
          <w:left w:w="28" w:type="dxa"/>
          <w:bottom w:w="28" w:type="dxa"/>
          <w:right w:w="28" w:type="dxa"/>
        </w:tblCellMar>
      </w:tblPr>
      <w:tblGrid>
        <w:gridCol w:w="1453"/>
        <w:gridCol w:w="1276"/>
        <w:gridCol w:w="1291"/>
        <w:gridCol w:w="211"/>
        <w:gridCol w:w="271"/>
        <w:gridCol w:w="109"/>
        <w:gridCol w:w="109"/>
        <w:gridCol w:w="109"/>
        <w:gridCol w:w="109"/>
        <w:gridCol w:w="211"/>
        <w:gridCol w:w="271"/>
        <w:gridCol w:w="109"/>
        <w:gridCol w:w="109"/>
        <w:gridCol w:w="109"/>
        <w:gridCol w:w="109"/>
        <w:gridCol w:w="840"/>
        <w:gridCol w:w="1617"/>
        <w:gridCol w:w="618"/>
      </w:tblGrid>
      <w:tr>
        <w:trPr/>
        <w:tc>
          <w:tcPr>
            <w:tcW w:w="145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 Plan</w:t>
            </w:r>
            <w:r>
              <w:rPr>
                <w:rFonts w:ascii="Times New Roman;serif" w:hAnsi="Times New Roman;serif"/>
                <w:b/>
                <w:color w:val="000000"/>
                <w:sz w:val="13"/>
              </w:rPr>
              <w:t>1</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prior service cost</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periodic benefit income - U.S. Plan</w:t>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Non-U.S. Plans</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periodic benefit cost - Non-U.S. Plans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6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consolidated balance sheet impact, including the benefit obligations, assets, and funded status associated with the Company’s significant pension plans:</w:t>
      </w:r>
    </w:p>
    <w:tbl>
      <w:tblPr>
        <w:tblW w:w="9106" w:type="dxa"/>
        <w:jc w:val="left"/>
        <w:tblInd w:w="0" w:type="dxa"/>
        <w:tblLayout w:type="fixed"/>
        <w:tblCellMar>
          <w:top w:w="28" w:type="dxa"/>
          <w:left w:w="28" w:type="dxa"/>
          <w:bottom w:w="28" w:type="dxa"/>
          <w:right w:w="28" w:type="dxa"/>
        </w:tblCellMar>
      </w:tblPr>
      <w:tblGrid>
        <w:gridCol w:w="2043"/>
        <w:gridCol w:w="1793"/>
        <w:gridCol w:w="1803"/>
        <w:gridCol w:w="288"/>
        <w:gridCol w:w="658"/>
        <w:gridCol w:w="148"/>
        <w:gridCol w:w="109"/>
        <w:gridCol w:w="115"/>
        <w:gridCol w:w="115"/>
        <w:gridCol w:w="115"/>
        <w:gridCol w:w="115"/>
        <w:gridCol w:w="223"/>
        <w:gridCol w:w="398"/>
        <w:gridCol w:w="115"/>
        <w:gridCol w:w="109"/>
        <w:gridCol w:w="109"/>
        <w:gridCol w:w="109"/>
        <w:gridCol w:w="211"/>
        <w:gridCol w:w="37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Plan</w:t>
            </w:r>
            <w:r>
              <w:rPr>
                <w:rFonts w:ascii="Times New Roman;serif" w:hAnsi="Times New Roman;serif"/>
                <w:b/>
                <w:color w:val="000000"/>
                <w:sz w:val="1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Non-U.S. Plans</w:t>
            </w:r>
          </w:p>
        </w:tc>
        <w:tc>
          <w:tcPr>
            <w:tcW w:w="1068" w:type="dxa"/>
            <w:gridSpan w:val="6"/>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68" w:type="dxa"/>
            <w:gridSpan w:val="6"/>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balance</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financial assumptions (gain)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including currency impact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Benefit obligation ending balance</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recognized in the Consolidated Balance Sheets consist of</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amount recognized</w:t>
            </w:r>
            <w:r>
              <w:rPr>
                <w:color w:val="000000"/>
              </w:rPr>
              <w:t xml:space="preserve"> </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Amounts recognized in Accumulated other comprehensive loss:</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actuarial (gain)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amount recognized</w:t>
            </w:r>
            <w:r>
              <w:rPr>
                <w:color w:val="000000"/>
              </w:rPr>
              <w:t xml:space="preserve">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benefit obligation</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1.Prior to the Spin-off, certain of the Company’s U.S. employees participated in defined benefit plans which were sponsored by Honeywell. During this period, the Company did not record assets or liabilities to recognize the funded status of these plans because Solstice was not the legal sponsor of these plans. In conjunction with the Spin-off, the benefit obligations for these employees, and a proportionate share of the related Honeywell plans’ assets and liabilities, were transferred to a newly formed U.S. defined benefit pension plan sponsored by the Company. Therefore prior period amounts are not applicable for all U.S. Plan information presented within this footnote.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for funded status of pension plans is shown below:</w:t>
      </w:r>
    </w:p>
    <w:tbl>
      <w:tblPr>
        <w:tblW w:w="8132" w:type="dxa"/>
        <w:jc w:val="left"/>
        <w:tblInd w:w="0" w:type="dxa"/>
        <w:tblLayout w:type="fixed"/>
        <w:tblCellMar>
          <w:top w:w="28" w:type="dxa"/>
          <w:left w:w="28" w:type="dxa"/>
          <w:bottom w:w="28" w:type="dxa"/>
          <w:right w:w="28" w:type="dxa"/>
        </w:tblCellMar>
      </w:tblPr>
      <w:tblGrid>
        <w:gridCol w:w="1666"/>
        <w:gridCol w:w="1467"/>
        <w:gridCol w:w="1471"/>
        <w:gridCol w:w="331"/>
        <w:gridCol w:w="593"/>
        <w:gridCol w:w="171"/>
        <w:gridCol w:w="109"/>
        <w:gridCol w:w="109"/>
        <w:gridCol w:w="109"/>
        <w:gridCol w:w="109"/>
        <w:gridCol w:w="109"/>
        <w:gridCol w:w="212"/>
        <w:gridCol w:w="439"/>
        <w:gridCol w:w="109"/>
        <w:gridCol w:w="109"/>
        <w:gridCol w:w="109"/>
        <w:gridCol w:w="109"/>
        <w:gridCol w:w="211"/>
        <w:gridCol w:w="436"/>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Plan</w:t>
            </w:r>
            <w:r>
              <w:rPr>
                <w:rFonts w:ascii="Times New Roman;serif" w:hAnsi="Times New Roman;serif"/>
                <w:b/>
                <w:color w:val="000000"/>
                <w:sz w:val="1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Non-U.S. Plans</w:t>
            </w:r>
          </w:p>
        </w:tc>
        <w:tc>
          <w:tcPr>
            <w:tcW w:w="1128" w:type="dxa"/>
            <w:gridSpan w:val="6"/>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 pension assets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accrued compensation and benefits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 retirement benefit obligations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Funded status</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periodic pension expense (benefit) for the years ended December 31, 2025, 2024 and 2023 was not significant. Other changes in benefit obligations recognized in Other comprehensive (loss) income are as follows:</w:t>
      </w:r>
    </w:p>
    <w:tbl>
      <w:tblPr>
        <w:tblW w:w="10205" w:type="dxa"/>
        <w:jc w:val="left"/>
        <w:tblInd w:w="0" w:type="dxa"/>
        <w:tblLayout w:type="fixed"/>
        <w:tblCellMar>
          <w:top w:w="28" w:type="dxa"/>
          <w:left w:w="28" w:type="dxa"/>
          <w:bottom w:w="28" w:type="dxa"/>
          <w:right w:w="28" w:type="dxa"/>
        </w:tblCellMar>
      </w:tblPr>
      <w:tblGrid>
        <w:gridCol w:w="2260"/>
        <w:gridCol w:w="1779"/>
        <w:gridCol w:w="1781"/>
        <w:gridCol w:w="211"/>
        <w:gridCol w:w="315"/>
        <w:gridCol w:w="109"/>
        <w:gridCol w:w="109"/>
        <w:gridCol w:w="109"/>
        <w:gridCol w:w="109"/>
        <w:gridCol w:w="211"/>
        <w:gridCol w:w="271"/>
        <w:gridCol w:w="109"/>
        <w:gridCol w:w="109"/>
        <w:gridCol w:w="109"/>
        <w:gridCol w:w="109"/>
        <w:gridCol w:w="712"/>
        <w:gridCol w:w="1268"/>
        <w:gridCol w:w="525"/>
      </w:tblGrid>
      <w:tr>
        <w:trPr/>
        <w:tc>
          <w:tcPr>
            <w:tcW w:w="226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U.S. Plan</w:t>
            </w:r>
            <w:r>
              <w:rPr>
                <w:rFonts w:ascii="Times New Roman;serif" w:hAnsi="Times New Roman;serif"/>
                <w:b/>
                <w:color w:val="000000"/>
                <w:sz w:val="13"/>
              </w:rPr>
              <w:t>1</w:t>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actuarial (gain) loss arising the during period</w:t>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actuarial (gains) losses</w:t>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recognized in other comprehensive loss (income)</w:t>
            </w:r>
            <w:r>
              <w:rPr>
                <w:color w:val="000000"/>
              </w:rPr>
              <w:t xml:space="preserve"> </w:t>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recognized in net periodic pension expense (benefit) and other comprehensive loss</w:t>
            </w:r>
            <w:r>
              <w:rPr>
                <w:color w:val="000000"/>
              </w:rPr>
              <w:t xml:space="preserve"> </w:t>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Non-U.S. Plans</w:t>
            </w:r>
          </w:p>
        </w:tc>
        <w:tc>
          <w:tcPr>
            <w:tcW w:w="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actuarial (gain) loss arising the during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recognized in other comprehensive loss (income)</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recognized in net periodic pension expense (benefit) and other comprehensive loss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5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1.Prior to the Spin-off, certain of the Company’s U.S. employees participated in defined benefit plans which were sponsored by Honeywell. During this period, the Company did not record assets or liabilities to recognize the funded status of these plans because Solstice was not the legal sponsor of these plans. In conjunction with the Spin-off, the benefit obligations for these employees, and a proportionate share of the related Honeywell plans’ assets and liabilities, were transferred to a newly formed U.S. defined benefit pension plan sponsored by the Company. Therefore prior period amounts are not applicable for all U.S. Plan information presented within this footnote.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actuarial assumptions used in determining the benefit obligation and net periodic pension expense (benefit) for pension plans are presented in the following table as weighted averages:</w:t>
      </w:r>
    </w:p>
    <w:tbl>
      <w:tblPr>
        <w:tblW w:w="10205" w:type="dxa"/>
        <w:jc w:val="left"/>
        <w:tblInd w:w="0" w:type="dxa"/>
        <w:tblLayout w:type="fixed"/>
        <w:tblCellMar>
          <w:top w:w="28" w:type="dxa"/>
          <w:left w:w="28" w:type="dxa"/>
          <w:bottom w:w="28" w:type="dxa"/>
          <w:right w:w="28" w:type="dxa"/>
        </w:tblCellMar>
      </w:tblPr>
      <w:tblGrid>
        <w:gridCol w:w="2112"/>
        <w:gridCol w:w="1860"/>
        <w:gridCol w:w="1867"/>
        <w:gridCol w:w="203"/>
        <w:gridCol w:w="203"/>
        <w:gridCol w:w="466"/>
        <w:gridCol w:w="109"/>
        <w:gridCol w:w="109"/>
        <w:gridCol w:w="109"/>
        <w:gridCol w:w="109"/>
        <w:gridCol w:w="109"/>
        <w:gridCol w:w="109"/>
        <w:gridCol w:w="109"/>
        <w:gridCol w:w="203"/>
        <w:gridCol w:w="203"/>
        <w:gridCol w:w="271"/>
        <w:gridCol w:w="109"/>
        <w:gridCol w:w="109"/>
        <w:gridCol w:w="109"/>
        <w:gridCol w:w="203"/>
        <w:gridCol w:w="203"/>
        <w:gridCol w:w="271"/>
        <w:gridCol w:w="109"/>
        <w:gridCol w:w="109"/>
        <w:gridCol w:w="109"/>
        <w:gridCol w:w="203"/>
        <w:gridCol w:w="203"/>
        <w:gridCol w:w="317"/>
      </w:tblGrid>
      <w:tr>
        <w:trPr/>
        <w:tc>
          <w:tcPr>
            <w:tcW w:w="2112"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U.S. Plan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Non-U.S. Plans</w:t>
            </w:r>
          </w:p>
        </w:tc>
      </w:tr>
      <w:tr>
        <w:trPr/>
        <w:tc>
          <w:tcPr>
            <w:tcW w:w="5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Actuarial assumptions used to determine benefit obligations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Salary scale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Actuarial assumptions used to determine net periodic benefit income</w:t>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benefit obligation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service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Discount rate - interest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rate of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Salary scale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1.Prior to the Spin-off, certain of the Company’s U.S. employees participated in defined benefit plans which were sponsored by Honeywell. During this period, the Company did not record assets or liabilities to recognize the funded status of these plans because Solstice was not the legal sponsor of these plans. In conjunction with the Spin-off, the benefit obligations for these employees, and a proportionate share of the related Honeywell plans’ assets and liabilities, were transferred to a newly formed U.S. defined benefit pension plan sponsored by the Company. Therefore prior period amounts are not applicable for all U.S. Plan information presented within this footnote.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weighted-average discount rates used to measure pension benefit obligations and net costs are set by reference to specific analyses using each plan’s specific cash flows and high-quality bond indices to assess reasonableness. For significant plans, the Company utilizes a full yield curve approach in the estimation of the service cost and interest cost components by applying the specific spot rates along the yield curve used in determination of the benefit obligation to the relevant projected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Expected benefit payments due to the plan participants for the following years are shown in the table below. </w:t>
      </w:r>
    </w:p>
    <w:tbl>
      <w:tblPr>
        <w:tblW w:w="3280" w:type="dxa"/>
        <w:jc w:val="left"/>
        <w:tblInd w:w="0" w:type="dxa"/>
        <w:tblLayout w:type="fixed"/>
        <w:tblCellMar>
          <w:top w:w="28" w:type="dxa"/>
          <w:left w:w="28" w:type="dxa"/>
          <w:bottom w:w="28" w:type="dxa"/>
          <w:right w:w="28" w:type="dxa"/>
        </w:tblCellMar>
      </w:tblPr>
      <w:tblGrid>
        <w:gridCol w:w="368"/>
        <w:gridCol w:w="324"/>
        <w:gridCol w:w="327"/>
        <w:gridCol w:w="241"/>
        <w:gridCol w:w="414"/>
        <w:gridCol w:w="125"/>
        <w:gridCol w:w="109"/>
        <w:gridCol w:w="109"/>
        <w:gridCol w:w="109"/>
        <w:gridCol w:w="392"/>
        <w:gridCol w:w="476"/>
        <w:gridCol w:w="286"/>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Non-US Plans</w:t>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2031-2035</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Benefits paid for the Non-U.S. plans in the years ended December 31, 2025, 2024 and 2023 were approximately $3 million, $3 million and $3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Plan Assets and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U.S. defined benefit pension plans’ asset classes and their associated fair value at December 31, 2025:</w:t>
      </w:r>
    </w:p>
    <w:tbl>
      <w:tblPr>
        <w:tblW w:w="5682" w:type="dxa"/>
        <w:jc w:val="left"/>
        <w:tblInd w:w="0" w:type="dxa"/>
        <w:tblLayout w:type="fixed"/>
        <w:tblCellMar>
          <w:top w:w="28" w:type="dxa"/>
          <w:left w:w="28" w:type="dxa"/>
          <w:bottom w:w="28" w:type="dxa"/>
          <w:right w:w="28" w:type="dxa"/>
        </w:tblCellMar>
      </w:tblPr>
      <w:tblGrid>
        <w:gridCol w:w="1049"/>
        <w:gridCol w:w="922"/>
        <w:gridCol w:w="924"/>
        <w:gridCol w:w="439"/>
        <w:gridCol w:w="439"/>
        <w:gridCol w:w="442"/>
        <w:gridCol w:w="109"/>
        <w:gridCol w:w="109"/>
        <w:gridCol w:w="109"/>
        <w:gridCol w:w="284"/>
        <w:gridCol w:w="648"/>
        <w:gridCol w:w="208"/>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short-term investments</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transfer due from Honeywell</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and Short-term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Equity securities are valued at the closing price reported on the stock exchange on which the individual securities are traded. Mutual funds are typically valued based on quoted market prices. These assets are generally classified as Level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19.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balance of the Company’s equity method investments recorded in the Consolidated Balance Sheets as of December 31, 2025 and 2024 was $162 million and $146 million, respectively. These equity method investments are not considered significant for disclosure of summarized financial information on either an individual or aggregated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principal equity method investments as of December 31, 2025 and 2024 are as follows: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Asahi-Schwebel JV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Asahi-Schwebel (Taiwan) Co., Ltd. is a joint venture (“JV”) between the Company and Asahi Kasei EMD Corporation which manufactures woven glass fabrics in China and sells licensed products worldwide. The JV supplies raw materials and semi-finished products to the Company. The Company holds a 49% ownership interest in this JV. The Company does not maintain a controlling interest and therefore, the investment is presented as an equity method investment in the Consolidated Balance Sheets. The Company's investment in this JV was $34 million and $29 million as of December 31, 2025 and 2024, respectively, classified as Equity method investments in the Consolidated Balance Sheets.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Quimobásicos JV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Quimobásicos, S.A. de C.V. is a JV between the Company and Celulosa y Derivados, S.A. in Mexico which specializes in manufacturing refrigerant gases for sale primarily in Central America, South America and the Caribbean. The Company holds a 49% ownership interest in this JV. The Company does not maintain a controlling interest and therefore, the investment is presented as an equity method investment in the Consolidated Balance Sheets. The Company's investment in this JV was $25 million and $26 million as of December 31, 2025 and 2024, respectively, classified as Equity method investments in the Consolidated Balance Sheets.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Entities identified as VIEs have been evaluated to determine whether the Company is the primary beneficiary. The Company consolidates VIEs for which it is the primary beneficiary, and if the Company is not the primary beneficiary and an ownership interest is held, the VIE is accounted for under the equity method of accounting. Investments identified as VIEs are discussed below under consolidated VIE and unconsolidated VIE.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Consolidated VIE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ConverDyn JV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ConverDyn is a JV between the Company and General Atomics, Inc. (“General Atomics”) that provides uranium hexafluoride conversion and related services to utilities operating nuclear power plants in North America, Europe and Asia. ConverDyn is the exclusive purchaser of uranium conversion services provided by the Nuclear (AES) Facility. The Company and General Atomics each hold a 50% interest in the JV. ConverDyn is classified as a VIE as (x) the Company holds responsibility for and provides anticipated financial support of certain of ConverDyn’s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obligations including certain performance guarantees related to conversion services and has agreed to indemnify Honeywell against, pursuant to the Separation Agreement, and (y) the Company’s operations of and cost recovery for the Nuclear (AES) Facility allows a minimum return related to ConverDyn. The Company is the primary beneficiary as it has the power to direct activities that most significantly impact ConverDyn’s economic performance. The following summarizes the assets and liabilities of the ConverDyn JV included in the Company’s Consolidated Financial Statements (including noncontrolling interests):</w:t>
      </w:r>
    </w:p>
    <w:tbl>
      <w:tblPr>
        <w:tblW w:w="5486" w:type="dxa"/>
        <w:jc w:val="left"/>
        <w:tblInd w:w="0" w:type="dxa"/>
        <w:tblLayout w:type="fixed"/>
        <w:tblCellMar>
          <w:top w:w="28" w:type="dxa"/>
          <w:left w:w="28" w:type="dxa"/>
          <w:bottom w:w="28" w:type="dxa"/>
          <w:right w:w="28" w:type="dxa"/>
        </w:tblCellMar>
      </w:tblPr>
      <w:tblGrid>
        <w:gridCol w:w="765"/>
        <w:gridCol w:w="673"/>
        <w:gridCol w:w="676"/>
        <w:gridCol w:w="394"/>
        <w:gridCol w:w="901"/>
        <w:gridCol w:w="205"/>
        <w:gridCol w:w="109"/>
        <w:gridCol w:w="109"/>
        <w:gridCol w:w="109"/>
        <w:gridCol w:w="385"/>
        <w:gridCol w:w="878"/>
        <w:gridCol w:w="282"/>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receivable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Current liabilities</w:t>
            </w:r>
            <w:r>
              <w:rPr>
                <w:rFonts w:ascii="Times New Roman;serif" w:hAnsi="Times New Roman;serif"/>
                <w:b w:val="false"/>
                <w:color w:val="000000"/>
                <w:sz w:val="13"/>
              </w:rPr>
              <w:t>1</w:t>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payable</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related party payables of $69 million and $60 million as of December 31, 2025 and 2024, respectively. See Note 3 - Related Party Transactions for additional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Unconsolidated VIE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SinoChem JV</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SinoChem is a JV between the Company and Sinochem Lantian New Materials Co., Ltd in China that manufactures and sells foam blowing agents for energy efficient foam insulation in Asia. The Company’s variable interest in this JV is primarily related to third-party borrowings of the JV which are guaranteed by the Company. This JV is accounted for as an equity method investment as the Company does not maintain a controlling interest. The Company's investment in this JV was $103 million and $91 million as of December 31, 2025 and 2024, respectively, classified as Equity method investments in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20.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Costs related to environmental remediation are charged to expense in the period that the associated liability is accrued. The following table summarizes information concerning the Company’s recorded liabilities for environmental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center"/>
        <w:rPr/>
      </w:pPr>
      <w:r>
        <w:rPr/>
      </w:r>
    </w:p>
    <w:tbl>
      <w:tblPr>
        <w:tblW w:w="9281" w:type="dxa"/>
        <w:jc w:val="left"/>
        <w:tblInd w:w="0" w:type="dxa"/>
        <w:tblLayout w:type="fixed"/>
        <w:tblCellMar>
          <w:top w:w="28" w:type="dxa"/>
          <w:left w:w="28" w:type="dxa"/>
          <w:bottom w:w="28" w:type="dxa"/>
          <w:right w:w="28" w:type="dxa"/>
        </w:tblCellMar>
      </w:tblPr>
      <w:tblGrid>
        <w:gridCol w:w="2354"/>
        <w:gridCol w:w="2066"/>
        <w:gridCol w:w="2074"/>
        <w:gridCol w:w="211"/>
        <w:gridCol w:w="376"/>
        <w:gridCol w:w="109"/>
        <w:gridCol w:w="109"/>
        <w:gridCol w:w="109"/>
        <w:gridCol w:w="109"/>
        <w:gridCol w:w="211"/>
        <w:gridCol w:w="376"/>
        <w:gridCol w:w="109"/>
        <w:gridCol w:w="109"/>
        <w:gridCol w:w="109"/>
        <w:gridCol w:w="109"/>
        <w:gridCol w:w="211"/>
        <w:gridCol w:w="376"/>
        <w:gridCol w:w="154"/>
      </w:tblGrid>
      <w:tr>
        <w:trPr/>
        <w:tc>
          <w:tcPr>
            <w:tcW w:w="2354"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Beginning of year</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environmental matters deemed probable and reasonably estimable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liability payments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End of year</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08" w:type="dxa"/>
        <w:jc w:val="left"/>
        <w:tblInd w:w="0" w:type="dxa"/>
        <w:tblLayout w:type="fixed"/>
        <w:tblCellMar>
          <w:top w:w="28" w:type="dxa"/>
          <w:left w:w="28" w:type="dxa"/>
          <w:bottom w:w="28" w:type="dxa"/>
          <w:right w:w="28" w:type="dxa"/>
        </w:tblCellMar>
      </w:tblPr>
      <w:tblGrid>
        <w:gridCol w:w="1102"/>
        <w:gridCol w:w="967"/>
        <w:gridCol w:w="975"/>
        <w:gridCol w:w="211"/>
        <w:gridCol w:w="376"/>
        <w:gridCol w:w="109"/>
        <w:gridCol w:w="109"/>
        <w:gridCol w:w="109"/>
        <w:gridCol w:w="109"/>
        <w:gridCol w:w="211"/>
        <w:gridCol w:w="37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environmental liabilities</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environmental remediation liabilities at December 31, 2025 and 2024 for the three sites that are deemed the most significant during the periods presented, together with the aggregate liabilities for all other sites.</w:t>
      </w:r>
    </w:p>
    <w:tbl>
      <w:tblPr>
        <w:tblW w:w="4538" w:type="dxa"/>
        <w:jc w:val="left"/>
        <w:tblInd w:w="0" w:type="dxa"/>
        <w:tblLayout w:type="fixed"/>
        <w:tblCellMar>
          <w:top w:w="28" w:type="dxa"/>
          <w:left w:w="28" w:type="dxa"/>
          <w:bottom w:w="28" w:type="dxa"/>
          <w:right w:w="28" w:type="dxa"/>
        </w:tblCellMar>
      </w:tblPr>
      <w:tblGrid>
        <w:gridCol w:w="1004"/>
        <w:gridCol w:w="883"/>
        <w:gridCol w:w="887"/>
        <w:gridCol w:w="211"/>
        <w:gridCol w:w="376"/>
        <w:gridCol w:w="109"/>
        <w:gridCol w:w="109"/>
        <w:gridCol w:w="109"/>
        <w:gridCol w:w="109"/>
        <w:gridCol w:w="211"/>
        <w:gridCol w:w="37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Delaware Valley Works Facility</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Amherstburg - Ontario, Canada</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Seelze, Germany</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All other sites</w:t>
            </w:r>
            <w:r>
              <w:rPr>
                <w:rFonts w:ascii="Times New Roman;serif" w:hAnsi="Times New Roman;serif"/>
                <w:b w:val="false"/>
                <w:color w:val="000000"/>
                <w:sz w:val="13"/>
              </w:rPr>
              <w:t>2</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environmental liabilities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Environmental reserve liability at Delaware Valley Works Facility is associated with a repositioning project, which started remediating in 2024.</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2.Comprising 15 other sites, inclusive of Buffalo River, New York site which started remediating in 2022.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result from legal obligations associated with the retirement of long-lived assets that result from the acquisition, construction, development and/or the normal operation of a long-lived asset. Accordingly, the Company recognizes asset retirement obligations in the period in which they are incurred if a reasonable estimate of fair value can be made. The associated asset retirement costs are capitalized as part of the carrying amount of the long-lived asset. The Company depreciates the amount added to property, plant and equipment on a straight-line basis, and recognizes accretion expense in connection with the discounted liability over the remaining useful life of the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as a liability the present value of the estimated future costs to decommission its uranium conversion facility. The estimated liability is based on the estimated useful lives of the underlying asset, third-party estimates of the cost to decommission the asset in the future, and federal and state regulatory requirements, adjusted for inflation and discounted using the Company’s credit-adjusted risk-free rate that ranges from 6.5% to 6.6%. Revisions to the liability could occur due to changes in the Company’s estimated useful lives of the underlying assets, estimated dates of decommissioning and timing of related cash outflows, changes in decommissioning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federal or state regulatory guidance on the decommissioning of such facilities, or other changes in estimates. The Company recognizes changes due to revised estimates by adjusting the carrying amount of the liability and the related long-lived asset if the asset is still in service or charged to expense in the period if the asset is no longer in service.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AES Facility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2018, the Company has been involved in various legal proceedings in the United States District Court for the Southern District of Illinois related to its AES Facility, including eight separate lawsuits alleging cancer caused by radiation exposures that were settled in 2024. The Company remains involved in additional legal proceedings (i) related to alleged radiation contamination of properties around the plant by the city of Metropolis, Illinois, and the county of Massac, Illinois, (ii) a class action lawsuit alleging property damage by a group of plaintiffs on behalf of all property owners within a three-mile radius of the facility, and (iii) one alleged personal injury case. The Company is currently awaiting rulings on a motion for summary judgment related to the city and county cases, with rulings expected in 2026. For the alleged class action, the parties completed briefing on the plaintiffs’ motion for class certification and a ruling is expected in 2026. All plaintiffs in these matters are seeking compensatory damages and, in certain cases, punitive damages, medical monitoring, declaratory and/or injunctive relief. The Department of Energy (“the DoE”) has reached an agreement with the Company pursuant to which we understand the DoE intends to take appropriate action to provide sufficient assurance of the continued operational availability of the Company’s AES Facility to support the existing and future demand for uranium hexafluoride, including by extending reimbursement to the Company for certain litigation costs. In addition, the Company is also pursuing claims under Honeywell’s nuclear liability policies with American Nuclear Insurers. While we cannot predict the outcome of these matters, based on the facts currently known to us, we do not anticipate that these matters will have a material adverse effect on our financial condition, results of operations, or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Company’s agreement with the DoE, the DoE has also agreed to share in certain costs in connection with the expansion of our AES Facility.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other lawsuits, investigations, and disputes (some of which involve substantial amounts claimed) arising out of the conduct of the Company's business, including matters relating to commercial transactions,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uncertainty inherent in litigation and investigations,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or changes in assumptions, which could cause the Company to pay damage awards or settlements (or become subject to equitable remedies) that could have a material adverse effect on the Company's Consolidated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21. Segment Financial Data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globally manages its business operations through two reportable business segments. Segment information is consistent with how the President and Chief Executive Officer of Solstice Advanced Materials,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is the Chief Operating Decision Maker (“CODM”), and management reviews the businesses, makes investing and resource allocation decisions, and assesses operating performance.</w:t>
      </w:r>
    </w:p>
    <w:p>
      <w:pPr>
        <w:pStyle w:val="TextBody"/>
        <w:bidi w:val="0"/>
        <w:spacing w:lineRule="auto" w:line="288" w:before="0" w:after="180"/>
        <w:jc w:val="both"/>
        <w:rPr/>
      </w:pPr>
      <w:r>
        <w:rPr>
          <w:rFonts w:ascii="Times New Roman;serif" w:hAnsi="Times New Roman;serif"/>
          <w:b/>
          <w:color w:val="000000"/>
          <w:sz w:val="20"/>
        </w:rPr>
        <w:t>Refrigerants &amp; Applied Solutions</w:t>
      </w:r>
      <w:r>
        <w:rPr>
          <w:color w:val="000000"/>
        </w:rPr>
        <w:t xml:space="preserve"> – </w:t>
      </w:r>
      <w:r>
        <w:rPr>
          <w:rFonts w:ascii="Times New Roman;serif" w:hAnsi="Times New Roman;serif"/>
          <w:b w:val="false"/>
          <w:color w:val="000000"/>
          <w:sz w:val="20"/>
        </w:rPr>
        <w:t>A global provider of specialty solutions across the value chain of refrigerant and blowing agent materials for various end markets, such as cooling, air conditioning and refrigeration, automotive, energy, building and appliance insulation, and healthcare. Refrigeration &amp; Applied Solution offerings include (i) Refrigerants, (ii) Building Solutions and Intermediates, (iii) Nuclear (AES), and (iv) Healthcare Packaging. Refrigerants includes refrigerants for both stationary and automotive applications. Building Solutions and Intermediates supplies low global warming potential blowing agents for foam and appliance insulation, cleaning solvents, and lower emissions medical aerosols. Nuclear (AES) provides low carbon energy services in the form of uranium hexafluoride conversion and related services and products to utilities operating nuclear power plants. Healthcare Packaging includes specialty packaging materials characterized by a high moisture barrier and high clarity.</w:t>
      </w:r>
    </w:p>
    <w:p>
      <w:pPr>
        <w:pStyle w:val="TextBody"/>
        <w:bidi w:val="0"/>
        <w:spacing w:lineRule="auto" w:line="288" w:before="0" w:after="180"/>
        <w:jc w:val="both"/>
        <w:rPr/>
      </w:pPr>
      <w:r>
        <w:rPr>
          <w:rFonts w:ascii="Times New Roman;serif" w:hAnsi="Times New Roman;serif"/>
          <w:b/>
          <w:color w:val="000000"/>
          <w:sz w:val="20"/>
        </w:rPr>
        <w:t>Electronic &amp; Specialty Materials</w:t>
      </w:r>
      <w:r>
        <w:rPr>
          <w:color w:val="000000"/>
        </w:rPr>
        <w:t xml:space="preserve"> – </w:t>
      </w:r>
      <w:r>
        <w:rPr>
          <w:rFonts w:ascii="Times New Roman;serif" w:hAnsi="Times New Roman;serif"/>
          <w:b w:val="false"/>
          <w:color w:val="000000"/>
          <w:sz w:val="20"/>
        </w:rPr>
        <w:t>A global provider of electronic materials, industrial-grade fibers, and laboratory life science materials for a diverse set of end markets, such as semiconductors, defense, pharmaceutical, and construction. Electronic &amp; Specialty Materials offerings include (i) Research and Performance Chemicals, (ii) Electronic Materials, and (iii) Safety and Defense Solutions business units. Research and Performance Chemicals includes research chemicals, fine chemicals, and specialty additives. Electronic Materials is a provider of sputtering targets, electronic polymers, thermal solutions, and high purity etchants and wash solvents used in semiconductor manufacturing. Safety and Defense Solutions provides ultra-high molecular weight polyethylene materials which are specialty fibers primarily for armor as well as medical and industrial applications.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segment performance based on segment adjusted EBITDA, by comparing budget-to-actual and period-over-period results. Segment Adjusted EBITDA is defined as segment net income excluding income taxes, general corporate unallocated expense, depreciation, amortization, interest and other financial charges, remeasurement of foreign currencies, stock-based compensation expense, pension and other postretirement expense (income), transaction-related costs, repositioning charges, asset retirement obligations accretion, asset impairment charges, litigation costs and insurance settlements (net of recoveries), gains and losses on disposal of assets, and certain other items that are otherwise of an unusual or non-recurring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information about significant segment expenses and other segment items, for each historical period:</w:t>
      </w:r>
    </w:p>
    <w:tbl>
      <w:tblPr>
        <w:tblW w:w="10205" w:type="dxa"/>
        <w:jc w:val="left"/>
        <w:tblInd w:w="0" w:type="dxa"/>
        <w:tblLayout w:type="fixed"/>
        <w:tblCellMar>
          <w:top w:w="28" w:type="dxa"/>
          <w:left w:w="28" w:type="dxa"/>
          <w:bottom w:w="28" w:type="dxa"/>
          <w:right w:w="28" w:type="dxa"/>
        </w:tblCellMar>
      </w:tblPr>
      <w:tblGrid>
        <w:gridCol w:w="919"/>
        <w:gridCol w:w="372"/>
        <w:gridCol w:w="352"/>
        <w:gridCol w:w="266"/>
        <w:gridCol w:w="777"/>
        <w:gridCol w:w="138"/>
        <w:gridCol w:w="109"/>
        <w:gridCol w:w="109"/>
        <w:gridCol w:w="109"/>
        <w:gridCol w:w="250"/>
        <w:gridCol w:w="730"/>
        <w:gridCol w:w="130"/>
        <w:gridCol w:w="109"/>
        <w:gridCol w:w="109"/>
        <w:gridCol w:w="109"/>
        <w:gridCol w:w="261"/>
        <w:gridCol w:w="784"/>
        <w:gridCol w:w="136"/>
        <w:gridCol w:w="109"/>
        <w:gridCol w:w="109"/>
        <w:gridCol w:w="109"/>
        <w:gridCol w:w="250"/>
        <w:gridCol w:w="730"/>
        <w:gridCol w:w="130"/>
        <w:gridCol w:w="109"/>
        <w:gridCol w:w="109"/>
        <w:gridCol w:w="109"/>
        <w:gridCol w:w="261"/>
        <w:gridCol w:w="784"/>
        <w:gridCol w:w="136"/>
        <w:gridCol w:w="109"/>
        <w:gridCol w:w="109"/>
        <w:gridCol w:w="109"/>
        <w:gridCol w:w="248"/>
        <w:gridCol w:w="725"/>
        <w:gridCol w:w="191"/>
      </w:tblGrid>
      <w:tr>
        <w:trPr/>
        <w:tc>
          <w:tcPr>
            <w:tcW w:w="9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sales</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Net sales</w:t>
            </w:r>
            <w:r>
              <w:rPr>
                <w:color w:val="000000"/>
              </w:rPr>
              <w:t xml:space="preserve">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2,789</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and services sold</w:t>
            </w:r>
            <w:r>
              <w:rPr>
                <w:rFonts w:ascii="Times New Roman;serif" w:hAnsi="Times New Roman;serif"/>
                <w:b w:val="false"/>
                <w:color w:val="000000"/>
                <w:sz w:val="13"/>
              </w:rPr>
              <w:t>1</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Selling, general and administrative expenses</w:t>
            </w:r>
            <w:r>
              <w:rPr>
                <w:rFonts w:ascii="Times New Roman;serif" w:hAnsi="Times New Roman;serif"/>
                <w:b w:val="false"/>
                <w:color w:val="000000"/>
                <w:sz w:val="13"/>
              </w:rPr>
              <w:t>2</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Add</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EBITDA</w:t>
            </w:r>
            <w:r>
              <w:rPr>
                <w:color w:val="000000"/>
              </w:rPr>
              <w:t xml:space="preserve"> </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981</w:t>
            </w:r>
            <w:r>
              <w:rPr>
                <w:color w:val="000000"/>
              </w:rPr>
              <w:t>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1,058</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ARO accretion, repositioning charges, and other non-recurring items.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2.Amounts exclude stock compensation expense, transaction costs, pension and other postretirement income (expense), repositioning charges, and other non-recurring items.</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segment items primarily consisted of gains and losses from segment-related equity-method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adjusted EBITDA to Net income attributable to Solstice Advanced Materials is as follows:</w:t>
      </w:r>
    </w:p>
    <w:tbl>
      <w:tblPr>
        <w:tblW w:w="8666" w:type="dxa"/>
        <w:jc w:val="left"/>
        <w:tblInd w:w="0" w:type="dxa"/>
        <w:tblLayout w:type="fixed"/>
        <w:tblCellMar>
          <w:top w:w="28" w:type="dxa"/>
          <w:left w:w="28" w:type="dxa"/>
          <w:bottom w:w="28" w:type="dxa"/>
          <w:right w:w="28" w:type="dxa"/>
        </w:tblCellMar>
      </w:tblPr>
      <w:tblGrid>
        <w:gridCol w:w="1851"/>
        <w:gridCol w:w="1629"/>
        <w:gridCol w:w="1634"/>
        <w:gridCol w:w="211"/>
        <w:gridCol w:w="631"/>
        <w:gridCol w:w="109"/>
        <w:gridCol w:w="109"/>
        <w:gridCol w:w="109"/>
        <w:gridCol w:w="109"/>
        <w:gridCol w:w="211"/>
        <w:gridCol w:w="631"/>
        <w:gridCol w:w="109"/>
        <w:gridCol w:w="109"/>
        <w:gridCol w:w="109"/>
        <w:gridCol w:w="109"/>
        <w:gridCol w:w="211"/>
        <w:gridCol w:w="631"/>
        <w:gridCol w:w="154"/>
      </w:tblGrid>
      <w:tr>
        <w:trPr/>
        <w:tc>
          <w:tcPr>
            <w:tcW w:w="185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EBITDA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disposal of long-lived assets, remeasurement of foreign currencies, environmental reserves, asset retirement obligations, pensions expenses, and certain legal costs, net of recoveries.</w:t>
      </w:r>
    </w:p>
    <w:p>
      <w:pPr>
        <w:pStyle w:val="TextBody"/>
        <w:bidi w:val="0"/>
        <w:spacing w:before="0" w:after="60"/>
        <w:jc w:val="both"/>
        <w:rPr/>
      </w:pPr>
      <w:r>
        <w:rPr/>
      </w:r>
    </w:p>
    <w:tbl>
      <w:tblPr>
        <w:tblW w:w="5108" w:type="dxa"/>
        <w:jc w:val="left"/>
        <w:tblInd w:w="0" w:type="dxa"/>
        <w:tblLayout w:type="fixed"/>
        <w:tblCellMar>
          <w:top w:w="28" w:type="dxa"/>
          <w:left w:w="28" w:type="dxa"/>
          <w:bottom w:w="28" w:type="dxa"/>
          <w:right w:w="28" w:type="dxa"/>
        </w:tblCellMar>
      </w:tblPr>
      <w:tblGrid>
        <w:gridCol w:w="1026"/>
        <w:gridCol w:w="903"/>
        <w:gridCol w:w="905"/>
        <w:gridCol w:w="211"/>
        <w:gridCol w:w="631"/>
        <w:gridCol w:w="109"/>
        <w:gridCol w:w="109"/>
        <w:gridCol w:w="109"/>
        <w:gridCol w:w="109"/>
        <w:gridCol w:w="211"/>
        <w:gridCol w:w="63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 reconciliation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1027"/>
        <w:gridCol w:w="901"/>
        <w:gridCol w:w="906"/>
        <w:gridCol w:w="211"/>
        <w:gridCol w:w="481"/>
        <w:gridCol w:w="109"/>
        <w:gridCol w:w="109"/>
        <w:gridCol w:w="109"/>
        <w:gridCol w:w="109"/>
        <w:gridCol w:w="211"/>
        <w:gridCol w:w="481"/>
        <w:gridCol w:w="109"/>
        <w:gridCol w:w="109"/>
        <w:gridCol w:w="109"/>
        <w:gridCol w:w="109"/>
        <w:gridCol w:w="211"/>
        <w:gridCol w:w="481"/>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w:t>
            </w:r>
            <w:r>
              <w:rPr>
                <w:rFonts w:ascii="Times New Roman;serif" w:hAnsi="Times New Roman;serif"/>
                <w:b w:val="false"/>
                <w:color w:val="000000"/>
                <w:sz w:val="13"/>
              </w:rPr>
              <w:t>1</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1.Balance inclusive of unpaid capital expenditures of $111 million, $39 million and $54 million as of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center"/>
        <w:rPr/>
      </w:pPr>
      <w:r>
        <w:rPr/>
      </w:r>
    </w:p>
    <w:p>
      <w:pPr>
        <w:pStyle w:val="TextBody"/>
        <w:bidi w:val="0"/>
        <w:spacing w:before="0" w:after="180"/>
        <w:jc w:val="left"/>
        <w:rPr/>
      </w:pPr>
      <w:r>
        <w:rPr/>
      </w:r>
    </w:p>
    <w:tbl>
      <w:tblPr>
        <w:tblW w:w="10056" w:type="dxa"/>
        <w:jc w:val="left"/>
        <w:tblInd w:w="0" w:type="dxa"/>
        <w:tblLayout w:type="fixed"/>
        <w:tblCellMar>
          <w:top w:w="28" w:type="dxa"/>
          <w:left w:w="28" w:type="dxa"/>
          <w:bottom w:w="28" w:type="dxa"/>
          <w:right w:w="28" w:type="dxa"/>
        </w:tblCellMar>
      </w:tblPr>
      <w:tblGrid>
        <w:gridCol w:w="969"/>
        <w:gridCol w:w="848"/>
        <w:gridCol w:w="853"/>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Sales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Long-lived Assets</w:t>
            </w:r>
            <w:r>
              <w:rPr>
                <w:rFonts w:ascii="Times New Roman;serif" w:hAnsi="Times New Roman;serif"/>
                <w:b/>
                <w:color w:val="000000"/>
                <w:sz w:val="10"/>
              </w:rPr>
              <w:t>2</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1.Sales between geographic areas approximate market value and are not significant. Net sales are classified according to their country of origin. Included in United States Net sales are export sales of $544 million, $720 million, and $576 million for the years ended December 31, 2025, 2024, and 2023,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2.Long-lived assets are comprised of Property, plant and equipment –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22.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evaluated subsequent events for recognition or disclosure through February 19, 2026, the date the Consolidated Financial Statements were available to be issued.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announced that the Board of Directors declared a dividend of $0.075 per share of common stock outstanding, payable on March 10, 2026, to shareowners of record as of 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Solstice’s management, with the participation of our Chief Executive Officer (“CEO”) and Chief Financial Officer (“CFO”), evaluated the effectiveness of our disclosure controls and procedures (as defined in Rules 13a-15(e) or 15d-15(e) promulgated under the Exchange Act) as of December 31, 2025. Based upon that evaluation, our CEO and CFO concluded that our disclosure controls and procedures were effective to ensure information required to be disclosed in reports filed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Annual Report on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 report of management's assessment regarding internal control over financial reporting or an attestation report of the Company's registered public accounting firm due to a transition period established by the SEC’s rules for newly public companies.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defined in Rules 13a-15(f) or 15d-15(f) under the Exchange Act) during the quarter ended December 31,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December 31, 2025, no directors or officers (as defined in Rule 16a-1(f) of the Exchange Act) adopted, modified,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will be set forth in the Company’s Definitive Proxy Statement for the 2026 Annual Meeting of Shareowners, to be filed with the SEC within 120 days after the end of the fiscal year to which this report relates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Securities authorized for issuance under equity compensation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as of December 31, 2025, regarding securities authorized for issuance under our equity compensation plans. For additional information about our equity compensation plans, see Note 15 - Stock-Based Compensation Plans of the Notes to the Consolidated Financial Statements included in this Annual Report on Form 10-K.</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664"/>
        <w:gridCol w:w="584"/>
        <w:gridCol w:w="587"/>
        <w:gridCol w:w="961"/>
        <w:gridCol w:w="689"/>
        <w:gridCol w:w="691"/>
        <w:gridCol w:w="109"/>
        <w:gridCol w:w="109"/>
        <w:gridCol w:w="109"/>
        <w:gridCol w:w="509"/>
        <w:gridCol w:w="1490"/>
        <w:gridCol w:w="265"/>
        <w:gridCol w:w="109"/>
        <w:gridCol w:w="109"/>
        <w:gridCol w:w="109"/>
        <w:gridCol w:w="1086"/>
        <w:gridCol w:w="836"/>
        <w:gridCol w:w="1189"/>
      </w:tblGrid>
      <w:tr>
        <w:trPr/>
        <w:tc>
          <w:tcPr>
            <w:tcW w:w="6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Number of securities to be issued upon exercise of outstanding options, warrants and rights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Weighted-average exercise price of outstanding options, warrants and rights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1,338,071 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9,857,189 </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1,338,071 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9,857,189 </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1.Reflects the number of outstanding stock options and restricted stock units (“RSUs”), pursuant to the 2025 Stock Incentive Plan of Solstice Advanced Materials Inc.</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weighted-average exercise price of outstanding stock options, as RSUs do not have associated exercise prices.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other information required to be furnished pursuant to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will be set forth in the Proxy Statement and is incorporated herein by reference.</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See Part II, Item 8. “Financial Statements and Supplementary Data” included in this Annual Report on Form 10-K.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Financial Statement Schedules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Certain schedules have been omitted because they are not applicable or the required information is included elsewhere in this Annual Report on Form 10-K.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2796"/>
        <w:gridCol w:w="2522"/>
        <w:gridCol w:w="3589"/>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val="false"/>
                  <w:color w:val="0000FF"/>
                  <w:sz w:val="16"/>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 and Distribution Agreement, dated as of October 30, 2025, by and between Honeywell International Inc. and Solstice Advanced Materials Inc. (incorporated by reference to Exhibit 2.1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 Solstice Advanced Materials Inc., dated as of October 30, 2025 (incorporated by reference to Exhibit 4.1 to the Company’s Registration Statement on Form S-8 (File No. 333-291158)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16"/>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 of Solstice Advanced Materials Inc., dated as of October 30, 2025 (incorporated by reference to Exhibit 4.2 to the Company’s Registration Statement on Form S-8 (File No. 333-291158)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16"/>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Indenture, dated as of September 30, 2025, by and among Solstice Advanced Materials Inc., the guarantors named therein and Deutsche Bank Trust Company Americas, as trustee (incorporated by reference to Exhibit 4.1 to Amendment No. 1 to the Company’s Registration Statement on Form 10-12B/A filed with the SEC on September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16"/>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5.625% Senior Notes due 2033 (included in Exhibit 4.1) (incorporated by reference to Exhibit 4.1 to Amendment No. 1 to the Company’s Registration Statement on Form 10-12B/A filed with the SEC on September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43.htm">
              <w:r>
                <w:rPr>
                  <w:rStyle w:val="InternetLink"/>
                  <w:rFonts w:ascii="Times New Roman;serif" w:hAnsi="Times New Roman;serif"/>
                  <w:b w:val="false"/>
                  <w:color w:val="0000FF"/>
                  <w:sz w:val="16"/>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Securities Registered Pursuant to Section 12 of the Securities Exchange Act of 1934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16"/>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 Services Agreement, dated as of October 30, 2025, by and between Honeywell International Inc. and Solstice Advanced Materials Inc. (incorporated by reference to Exhibit 10.1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16"/>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Matters Agreement, dated as of October 30, 2025, by and between Honeywell International Inc. and Solstice Advanced Materials Inc. (incorporated by reference to Exhibit 10.2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16"/>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Matters Agreement, dated as of October 30, 2025, by and between Honeywell International Inc. and Solstice Advanced Materials Inc. (incorporated by reference to Exhibit 10.3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16"/>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Intellectual Property Cross-License Agreement, dated as of October 30, 2025, by and between Honeywell International Inc. and Solstice Advanced Materials Inc. (incorporated by reference to Exhibit 10.4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6"/>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 License Agreement, dated as of October 30, 2025, by and between Honeywell International Inc. and Solstice Advanced Materials Inc. (incorporated by reference to Exhibit 10.5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16"/>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Accelerator License Agreement, dated as of October 30, 2025, by and between Honeywell International Inc. and Solstice Advanced Materials Inc. (incorporated by reference to Exhibit 10.6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6"/>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Agreement, dated as of October 29, 2025, by and among Solstice Advanced Materials Inc., substantially all of the direct and indirect wholly owned subsidiaries of the Company that are organized under the laws of the United States, as guarantors, the lenders and issuing banks party thereto, and JPMorgan Chase Bank, N.A., as administrative agent (incorporated by reference to Exhibit 10.7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16"/>
                </w:rPr>
                <w:t>10.8+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TD Additional Letter of Credit Facility Agreement, dated as of October 29, 2025, by and between Solstice Advanced Materials Inc. and The Toronto-Dominion Bank, New York Branch, as issuer (incorporated by reference to Exhibit 10.8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16"/>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UniCredit Additional Letter of Credit Facility Agreement, dated as of October 29, 2025, by and between Solstice Advanced Materials Inc. and UniCredit Bank GmbH, New York Branch, as issuer (incorporated by reference to Exhibit 10.9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16"/>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BBVA Additional Letter of Credit Facility Agreement, dated as of October 29, 2025, by and between Solstice Advanced Materials Inc. and Banco Bilbao Vizcaya Argentaria, S.A. New York Branch, as issuer (incorporated by reference to Exhibit 10.10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16"/>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David Sewell (incorporated by reference to Exhibit 10.9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16"/>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Jason Clifford (incorporated by reference to Exhibit 10.10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16"/>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Jeffrey Dormo (incorporated by reference to Exhibit 10.11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16"/>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Simon Mawson (incorporated by reference to Exhibit 10.12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16"/>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Tina Pierce (incorporated by reference to Exhibit 10.13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16"/>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Brian Rudick (incorporated by reference to Exhibit 10.14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16"/>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Stock Incentive Plan of Solstice Advanced Materials Inc. and its Affiliates (incorporated by reference to Exhibit 4.3 to the Company’s Registration Statement on Form S-8 (File No. 333-291158)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16"/>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(Executive Officers – Founders Grant) (October 2025) (incorporated by reference to Exhibit 10.18 to the Company’s Quarterly Report on Form 10-Q for the quarter ended September 30, 2025, filed with the SEC on November 13,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16"/>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(Non-Employee Director Grants) (October 2025) (incorporated by reference to Exhibit 10.19 to the Company’s Quarterly Report on Form 10-Q for the quarter ended September 30, 2025, filed with the SEC on November 13,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20.htm">
              <w:r>
                <w:rPr>
                  <w:rStyle w:val="InternetLink"/>
                  <w:rFonts w:ascii="Times New Roman;serif" w:hAnsi="Times New Roman;serif"/>
                  <w:b w:val="false"/>
                  <w:color w:val="0000FF"/>
                  <w:sz w:val="16"/>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(Spin-off) (October 2025)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1.htm">
              <w:r>
                <w:rPr>
                  <w:rStyle w:val="InternetLink"/>
                  <w:rFonts w:ascii="Times New Roman;serif" w:hAnsi="Times New Roman;serif"/>
                  <w:b w:val="false"/>
                  <w:color w:val="0000FF"/>
                  <w:sz w:val="16"/>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Stock Option Award Agreement (Spin-off) (October 2025) (filed herewith)</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22.htm">
              <w:r>
                <w:rPr>
                  <w:rStyle w:val="InternetLink"/>
                  <w:rFonts w:ascii="Times New Roman;serif" w:hAnsi="Times New Roman;serif"/>
                  <w:b w:val="false"/>
                  <w:color w:val="0000FF"/>
                  <w:sz w:val="16"/>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Performance Plan Grant Agreement (Spin-off) (October 2025)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3.htm">
              <w:r>
                <w:rPr>
                  <w:rStyle w:val="InternetLink"/>
                  <w:rFonts w:ascii="Times New Roman;serif" w:hAnsi="Times New Roman;serif"/>
                  <w:b w:val="false"/>
                  <w:color w:val="0000FF"/>
                  <w:sz w:val="16"/>
                </w:rPr>
                <w:t>10.23*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(2026) (filed herewith)</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val="false"/>
                  <w:color w:val="0000FF"/>
                  <w:sz w:val="16"/>
                </w:rPr>
                <w:t>10.24*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Plan for Designated Officers (incorporated by reference to Exhibit 10.18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16"/>
                </w:rPr>
                <w:t>10.25*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Supplemental Pension Plan (incorporated by reference to Exhibit 10.21 to the Company’s Quarterly Report on Form 10-Q for the quarter ended September 30, 2025, filed with the SEC on November 13,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358"/>
        <w:gridCol w:w="314"/>
        <w:gridCol w:w="315"/>
        <w:gridCol w:w="109"/>
        <w:gridCol w:w="109"/>
        <w:gridCol w:w="109"/>
        <w:gridCol w:w="2660"/>
        <w:gridCol w:w="2571"/>
        <w:gridCol w:w="3660"/>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val="false"/>
                  <w:color w:val="0000FF"/>
                  <w:sz w:val="16"/>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Deferred Compensation Plan (incorporated by reference to Exhibit 10.22 to the Company’s Quarterly Report on Form 10-Q for the quarter ended September 30, 2025, filed with the SEC on November 13, 2025)</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27.htm">
              <w:r>
                <w:rPr>
                  <w:rStyle w:val="InternetLink"/>
                  <w:rFonts w:ascii="Times New Roman;serif" w:hAnsi="Times New Roman;serif"/>
                  <w:b w:val="false"/>
                  <w:color w:val="0000FF"/>
                  <w:sz w:val="16"/>
                </w:rPr>
                <w:t>10.27*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Solstice Advanced Materials Inc. Incentive Compensation Plan for Executive Employees (February 2026) (filed herewith) </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8.htm">
              <w:r>
                <w:rPr>
                  <w:rStyle w:val="InternetLink"/>
                  <w:rFonts w:ascii="Times New Roman;serif" w:hAnsi="Times New Roman;serif"/>
                  <w:b w:val="false"/>
                  <w:color w:val="0000FF"/>
                  <w:sz w:val="16"/>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Retention Letter for Jeffrey Dormo, dated March 28, 2025 (filed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29.htm">
              <w:r>
                <w:rPr>
                  <w:rStyle w:val="InternetLink"/>
                  <w:rFonts w:ascii="Times New Roman;serif" w:hAnsi="Times New Roman;serif"/>
                  <w:b w:val="false"/>
                  <w:color w:val="0000FF"/>
                  <w:sz w:val="16"/>
                </w:rPr>
                <w:t>10.29*+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Retention Letter for Simon Mawson, dated March 28, 2025 (filed herewith)</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91.htm">
              <w:r>
                <w:rPr>
                  <w:rStyle w:val="InternetLink"/>
                  <w:rFonts w:ascii="Times New Roman;serif" w:hAnsi="Times New Roman;serif"/>
                  <w:b w:val="false"/>
                  <w:color w:val="0000FF"/>
                  <w:sz w:val="16"/>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Inc. Insider Trading Policy (filed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211.htm">
              <w:r>
                <w:rPr>
                  <w:rStyle w:val="InternetLink"/>
                  <w:rFonts w:ascii="Times New Roman;serif" w:hAnsi="Times New Roman;serif"/>
                  <w:b w:val="false"/>
                  <w:color w:val="0000FF"/>
                  <w:sz w:val="16"/>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Subsidiaries of Solstice Advanced Materials Inc. (filed herewith)</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231.htm">
              <w:r>
                <w:rPr>
                  <w:rStyle w:val="InternetLink"/>
                  <w:rFonts w:ascii="Times New Roman;serif" w:hAnsi="Times New Roman;serif"/>
                  <w:b w:val="false"/>
                  <w:color w:val="0000FF"/>
                  <w:sz w:val="16"/>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Consent of Deloitte &amp; Touche LLP</w:t>
            </w:r>
            <w:r>
              <w:rPr>
                <w:color w:val="000000"/>
              </w:rPr>
              <w:t xml:space="preserve"> </w:t>
            </w:r>
            <w:r>
              <w:rPr>
                <w:rFonts w:ascii="Times New Roman;serif" w:hAnsi="Times New Roman;serif"/>
                <w:b w:val="false"/>
                <w:color w:val="000000"/>
                <w:sz w:val="16"/>
              </w:rPr>
              <w:t>(filed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1156d3e48484912b4e5b1e4c6e171d4_4247">
              <w:r>
                <w:rPr>
                  <w:rStyle w:val="InternetLink"/>
                  <w:rFonts w:ascii="Times New Roman;serif" w:hAnsi="Times New Roman;serif"/>
                  <w:b w:val="false"/>
                  <w:color w:val="0000FF"/>
                  <w:sz w:val="16"/>
                </w:rPr>
                <w:t>24.1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Power of Attorney (included on the “Signatures” page of this Annual Report on Form 10-K) (filed herewith)</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ceosox302123120.htm">
              <w:r>
                <w:rPr>
                  <w:rStyle w:val="InternetLink"/>
                  <w:rFonts w:ascii="Times New Roman;serif" w:hAnsi="Times New Roman;serif"/>
                  <w:b w:val="false"/>
                  <w:color w:val="0000FF"/>
                  <w:sz w:val="16"/>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 (filed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cfosox302123120.htm">
              <w:r>
                <w:rPr>
                  <w:rStyle w:val="InternetLink"/>
                  <w:rFonts w:ascii="Times New Roman;serif" w:hAnsi="Times New Roman;serif"/>
                  <w:b w:val="false"/>
                  <w:color w:val="0000FF"/>
                  <w:sz w:val="16"/>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 (filed herewith)</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ceosox906123120.htm">
              <w:r>
                <w:rPr>
                  <w:rStyle w:val="InternetLink"/>
                  <w:rFonts w:ascii="Times New Roman;serif" w:hAnsi="Times New Roman;serif"/>
                  <w:b w:val="false"/>
                  <w:color w:val="0000FF"/>
                  <w:sz w:val="16"/>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18 U.S.C. Section 1350, as Adopted Pursuant to Section 906 of the Sarbanes-Oxley Act of 2002 (furnished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22-cfosox906123120.htm">
              <w:r>
                <w:rPr>
                  <w:rStyle w:val="InternetLink"/>
                  <w:rFonts w:ascii="Times New Roman;serif" w:hAnsi="Times New Roman;serif"/>
                  <w:b w:val="false"/>
                  <w:color w:val="0000FF"/>
                  <w:sz w:val="16"/>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18 U.S.C. Section 1350, as Adopted Pursuant to Section 906 of the Sarbanes-Oxley Act of 2002 (furnished herewith)</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971.htm">
              <w:r>
                <w:rPr>
                  <w:rStyle w:val="InternetLink"/>
                  <w:rFonts w:ascii="Times New Roman;serif" w:hAnsi="Times New Roman;serif"/>
                  <w:b w:val="false"/>
                  <w:color w:val="0000FF"/>
                  <w:sz w:val="16"/>
                </w:rPr>
                <w:t>97.1*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Inc. Clawback Policy (filed herewith)</w:t>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Annual Report on Form 10-K for the year ended December 31, 2025, formatted in inline XBRL: (i) Consolidated Statements of Operations, (ii) Consolidated Statements of Comprehensive Income (Loss), (iii) Consolidated Balance Sheets, (iv) Consolidated Statements of Cash Flows, (v) Consolidated Statements of Equity, and (vi) Notes to the Consolidated Financial Statements.</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Management contract or any compensatory plan, contract, or arrangement.</w:t>
      </w:r>
    </w:p>
    <w:p>
      <w:pPr>
        <w:pStyle w:val="TextBody"/>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 Certain schedules and similar attachments have been omitted pursuant to Item 601(a)(5) of Regulation S-K. The Company hereby undertakes to furnish copies of any of the omitted schedules and similar attachments upon request by the SEC.</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center"/>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570" w:type="dxa"/>
        <w:jc w:val="left"/>
        <w:tblInd w:w="0" w:type="dxa"/>
        <w:tblLayout w:type="fixed"/>
        <w:tblCellMar>
          <w:top w:w="28" w:type="dxa"/>
          <w:left w:w="28" w:type="dxa"/>
          <w:bottom w:w="28" w:type="dxa"/>
          <w:right w:w="28" w:type="dxa"/>
        </w:tblCellMar>
      </w:tblPr>
      <w:tblGrid>
        <w:gridCol w:w="761"/>
        <w:gridCol w:w="671"/>
        <w:gridCol w:w="672"/>
        <w:gridCol w:w="109"/>
        <w:gridCol w:w="109"/>
        <w:gridCol w:w="109"/>
        <w:gridCol w:w="134"/>
        <w:gridCol w:w="134"/>
        <w:gridCol w:w="136"/>
        <w:gridCol w:w="1093"/>
        <w:gridCol w:w="1093"/>
        <w:gridCol w:w="1549"/>
      </w:tblGrid>
      <w:tr>
        <w:trPr/>
        <w:tc>
          <w:tcPr>
            <w:tcW w:w="7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INC.</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 Barresi</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S. Barresi </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as the Registrant’s</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constitutes David Sewell, Tina Pierce, Brian Rudick, and John S. Barresi,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necessary and desirable to be done in and about the premises, as fully to all intents and purposes as he or she might or could do in person, hereby ratifying and confirming all that said attorneys-in-fact and agents, or any of them, or his or her substitute or substitutes, may lawfully do or cause to be done by virtue thereof.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February 19, 2026.</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center"/>
        <w:rPr/>
      </w:pPr>
      <w:r>
        <w:rPr/>
      </w:r>
    </w:p>
    <w:tbl>
      <w:tblPr>
        <w:tblW w:w="6115" w:type="dxa"/>
        <w:jc w:val="left"/>
        <w:tblInd w:w="0" w:type="dxa"/>
        <w:tblLayout w:type="fixed"/>
        <w:tblCellMar>
          <w:top w:w="28" w:type="dxa"/>
          <w:left w:w="28" w:type="dxa"/>
          <w:bottom w:w="28" w:type="dxa"/>
          <w:right w:w="28" w:type="dxa"/>
        </w:tblCellMar>
      </w:tblPr>
      <w:tblGrid>
        <w:gridCol w:w="596"/>
        <w:gridCol w:w="524"/>
        <w:gridCol w:w="529"/>
        <w:gridCol w:w="109"/>
        <w:gridCol w:w="109"/>
        <w:gridCol w:w="109"/>
        <w:gridCol w:w="1204"/>
        <w:gridCol w:w="1204"/>
        <w:gridCol w:w="1731"/>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David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Sewell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Tina Pierce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Tina Pierce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S. Barresi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S. Barresi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Rajeev Gautam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Chairman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Dr. Rajeev Gautam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8" w:type="dxa"/>
        <w:jc w:val="left"/>
        <w:tblInd w:w="0" w:type="dxa"/>
        <w:tblLayout w:type="fixed"/>
        <w:tblCellMar>
          <w:top w:w="28" w:type="dxa"/>
          <w:left w:w="28" w:type="dxa"/>
          <w:bottom w:w="28" w:type="dxa"/>
          <w:right w:w="28" w:type="dxa"/>
        </w:tblCellMar>
      </w:tblPr>
      <w:tblGrid>
        <w:gridCol w:w="998"/>
        <w:gridCol w:w="879"/>
        <w:gridCol w:w="883"/>
        <w:gridCol w:w="109"/>
        <w:gridCol w:w="109"/>
        <w:gridCol w:w="109"/>
        <w:gridCol w:w="236"/>
        <w:gridCol w:w="236"/>
        <w:gridCol w:w="339"/>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Peter Gibbons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Peter Gibbons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Fiona C. Laird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Fiona C. Laird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Rose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Rose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Oplinger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William Oplinger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 Sivasankaran Somasundaram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Sivasankaran Somasundaram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 Matthew Trerotola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Matthew Trerotola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Patrick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Patrick 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Brian Worrell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Brian Worrell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SOLSTICE ADVANCED MATERIALS INC.’S SECURITIES REGISTERED PURSUANT TO SECTION 12 OF THE SECURITIES EXCHANGE ACT OF 1934</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summarizes the terms and provisions of the securities of Solstice Advanced Materials Inc., a Delaware corporation (the “Company,” “we,” “us” or “our”), registered under Section 12(b) of the Securities Exchange Act of 1934, as amended (the “Exchange Act”). The following does not purport to be complete and is qualified in its entirety by reference to the Company’s Amended and Restated Certificate of Incorporation (the “Certificate of Incorporation”), and Amended and Restated By-Laws (the “By-Laws), which the Company has previously filed with the U.S. Securities and Exchange Commission, and applicable Delaware law.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Authorized Capital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500,000,000 shares of common stock, par value $0.01 per share, and 10,000,000 shares of preferred stock, without par value.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holder of a share of our common stock is entitled to one vote for each such share held in his or her name on the Company’s stock record upon all questions presented to our shareowners (other than those reserved to the holders of our preferred stock pursuant to applicable law or the provision of the certificate of designations creating that series) and our common stock has the exclusive right to vote for the election of directors (other than those directors, if any, elected by the holders of our preferred stock pursuant to applicable law or the provision of the certificate of designations creating that series) and for all other purposes. The By-Laws provide for a majority voting standard for the election of directors in uncontested elections, and under this standard, directors are elected if the number of votes cast “for” their election exceeds the number of votes cast “against” their election. In the case of contested elections (a situation in which the number of nominees exceeds the number of directors to be elected), directors are elected by a plurality of the votes cast by holders of the common stock. Except as otherwise required by law or the Company’s Certificate of Incorporation or By-Laws, all other matters brought to a vote of the holders of common stock are decided by a majority vote of shares present in person or represented by proxy and entitled to vote on the subject matter.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the preferential liquidation rights of any preferred stock that may be outstanding, upon our liquidation, dissolution or winding-up, the holders of our common stock will be entitled to share ratably in our assets legally available for distribution to our shareowners.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Rights and Preferences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issued and outstanding shares of our common stock are fully paid and non-assessable. Any additional shares of common stock that we may issue in the future will also be fully paid and non-assessable. The holders of our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before="0" w:after="1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Transfer Agent and Registrar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Listing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Market LLC, under the ticker symbol “SOLS.”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the authority, without further action by the holders of common stock,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and sinking fund terms,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the Company or other corporate action. The Company has no outstanding shares of preferred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Certain Provisions of Delaware Law, Our Certificate of Incorporation and Our By-Laws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Certificate of Incorporation and By-Laws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provisions in our Certificate of Incorporation and our By-Laws summarized below may be deemed to have an anti-takeover effect and may delay, deter or prevent a tender offer or takeover attempt that a shareowner might consider to be in its, his or her best interests, including attempts that might result in a premium being paid over the market price for the shares held by shareowners.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Classified Board</w:t>
      </w:r>
      <w:r>
        <w:rPr>
          <w:rFonts w:ascii="Times New Roman;serif" w:hAnsi="Times New Roman;serif"/>
          <w:b w:val="false"/>
          <w:color w:val="000000"/>
          <w:sz w:val="20"/>
        </w:rPr>
        <w:t>. Our Certificate of Incorporation provides that, until the annual shareowner meeting in 2028, our Board is divided into three classes, with each class consisting, as nearly as may be possible, of one-third of the total number of directors. The directors designated as Class I directors have terms expiring at the annual meeting of shareowners in 2026, the directors designated as Class II directors have terms expiring at the annual meeting in 2027, and the directors designated as Class III directors have terms expiring at the annual meeting in 2028. Commencing with the annual meeting in 2026, directors elected to succeed those directors whose terms then expire will be elected for a term of office to expire at the 2028 annual meeting. Beginning at the 2028 annual meeting, all of our directors will stand for election each year for annual terms, and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Removal</w:t>
      </w:r>
      <w:r>
        <w:rPr>
          <w:rFonts w:ascii="Times New Roman;serif" w:hAnsi="Times New Roman;serif"/>
          <w:b w:val="false"/>
          <w:color w:val="000000"/>
          <w:sz w:val="20"/>
        </w:rPr>
        <w:t>. Our Certificate of Incorporation provides that (i) prior to the 2028 annual meeting of shareowners, our shareowners may remove directors only for cause and only by the affirmative vote of the holders of at least 66 2/3% of our then outstanding shares of capital stock entitled to vote generally in the election of directors, voting as a single class, and (ii) at or following the 2028 annual meeting of shareowners, our shareowners may remove directors, with or without cause, only by the affirmative vote of holders of at least a majority of our then outstanding shares of capital stock entitled to vote generally in the election of directors, voting as a single class.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Size of our Board</w:t>
      </w:r>
      <w:r>
        <w:rPr>
          <w:rFonts w:ascii="Times New Roman;serif" w:hAnsi="Times New Roman;serif"/>
          <w:b w:val="false"/>
          <w:color w:val="000000"/>
          <w:sz w:val="20"/>
        </w:rPr>
        <w:t xml:space="preserve">. Our By-Laws provide that, until the 2028 annual meeting of shareowners, the number of directors on our Board may be determined from time to time only by the vote of a majority of the then authorized number of directors. At or following the 2028 annual meeting of shareowners, the authorized </w:t>
      </w: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number of directors may be determined from time to time either by a vote of a majority of the then authorized number of directors or by the affirmative vote of the holders of a majority of the voting power of the then outstanding shares of our capital stock entitled to vote generally in the election of directors, voting together as a single class.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Vacancies</w:t>
      </w:r>
      <w:r>
        <w:rPr>
          <w:rFonts w:ascii="Times New Roman;serif" w:hAnsi="Times New Roman;serif"/>
          <w:b w:val="false"/>
          <w:color w:val="000000"/>
          <w:sz w:val="20"/>
        </w:rPr>
        <w:t>. Our Certificate of Incorporation and By-Laws provide that newly created directorships and any vacancies occurring in our Board resulting from death, resignation, disqualification, removal or other cause shall be filled by the affirmative vote of a majority of the remaining directors then in office, even if less than a quorum of our Board, or by a sole remaining director. Any director elected in accordance with the preceding sentence shall hold office until the annual meeting of shareowners at which the full term of office of the class to which such director has been elected expires and until such director’s successor shall have been elected and qualified or until such director’s earlier death, resignation, disqualification or removal.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No Shareowner Action by Written Consent</w:t>
      </w:r>
      <w:r>
        <w:rPr>
          <w:rFonts w:ascii="Times New Roman;serif" w:hAnsi="Times New Roman;serif"/>
          <w:b w:val="false"/>
          <w:color w:val="000000"/>
          <w:sz w:val="20"/>
        </w:rPr>
        <w:t>. Our Certificate of Incorporation expressly excludes the right of our shareowners to act by written consent. Shareowner action must take place at an annual meeting or at a special meeting of our shareowners.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Special Shareowner Meetings</w:t>
      </w:r>
      <w:r>
        <w:rPr>
          <w:rFonts w:ascii="Times New Roman;serif" w:hAnsi="Times New Roman;serif"/>
          <w:b w:val="false"/>
          <w:color w:val="000000"/>
          <w:sz w:val="20"/>
        </w:rPr>
        <w:t>. Our Certificate of Incorporation and our By-Laws provide that, prior to the 2028 annual meeting of shareowners, only our Chief Executive Officer or a majority of our Board are able to call a special meeting of shareowners. From and including the 2028 annual meeting of shareowners, a special meeting of shareowners may be called by the Secretary upon the written request of holders owning not less than 15% of our outstanding common stock as of the date of the request.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Requirements for Advance Notification of Shareowner Nominations and Proposals</w:t>
      </w:r>
      <w:r>
        <w:rPr>
          <w:rFonts w:ascii="Times New Roman;serif" w:hAnsi="Times New Roman;serif"/>
          <w:b w:val="false"/>
          <w:color w:val="000000"/>
          <w:sz w:val="20"/>
        </w:rPr>
        <w:t>. Our By-Laws establish advance notice procedures with respect to shareowner proposals and nomination of candidates for election as directors. Generally, such proposal is required to be submitted not later than the close of business on the 90th day, nor earlier than the close of business on the 120th day prior to the first anniversary of the previous year’s annual meeting. These advance notice provisions may have the effect of precluding a contest for the election of our directors or the consideration of shareowner proposals if the proper procedures are not followed and of discouraging or deterring a third party from conducting a solicitation of proxies to elect its own slate of directors or to approve its own proposal, without regard to whether consideration of those nominees or proposals might be harmful or beneficial to us and our shareowners.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Cumulative Voting</w:t>
      </w:r>
      <w:r>
        <w:rPr>
          <w:rFonts w:ascii="Times New Roman;serif" w:hAnsi="Times New Roman;serif"/>
          <w:b w:val="false"/>
          <w:color w:val="000000"/>
          <w:sz w:val="20"/>
        </w:rPr>
        <w:t>. The Delaware General Corporation Law (the “DGCL”) provides that shareowners are denied the right to cumulate votes in the election of directors unless the company’s certificate of incorporation provides otherwise. Our Certificate of Incorporation does not provide for cumulative voting.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Amendments to Certificate of Incorporation</w:t>
      </w:r>
      <w:r>
        <w:rPr>
          <w:rFonts w:ascii="Times New Roman;serif" w:hAnsi="Times New Roman;serif"/>
          <w:b w:val="false"/>
          <w:color w:val="000000"/>
          <w:sz w:val="20"/>
        </w:rPr>
        <w:t>. Our Certificate of Incorporation provides that the provisions of our Certificate of Incorporation may only be amended in the manner prescribed by the DGCL, except that until the 2028 annual meeting of shareowners, the affirmative vote of the holders of at least 66 2/3% of our then outstanding shares of capital stock entitled to vote generally in the election of directors will be required to amend certain provisions relating to: (i) the classification, size, term, election, removal, nomination and filling of vacancies with respect to our Board; (ii) the ability to call special meetings of shareowners; (iii) the amendment of certain provisions of the By-Laws (as further described below); and (iv) any provision relating to the amendment of such provisions.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Amendments to By-Laws</w:t>
      </w:r>
      <w:r>
        <w:rPr>
          <w:rFonts w:ascii="Times New Roman;serif" w:hAnsi="Times New Roman;serif"/>
          <w:b w:val="false"/>
          <w:color w:val="000000"/>
          <w:sz w:val="20"/>
        </w:rPr>
        <w:t>. Our Certificate of Incorporation and By-Laws provide that the provisions of our By-Laws may be amended by our Board or by the affirmative vote of the holders of a majority of all of our then outstanding shares of capital stock entitled to vote generally in the election of directors, except that until the 2028 annual meeting of shareowners, the affirmative vote of the holders of at least 66 2/3% of our then outstanding shares of capital stock entitled to vote generally in the election of directors will be required to amend certain provisions relating to: (i) the ability to call special meetings of shareowners; (ii) the size, removal and filling of vacancies with respect to our Board; and (iii) any provision relating to the amendment of such provisions.</w:t>
      </w:r>
    </w:p>
    <w:p>
      <w:pPr>
        <w:pStyle w:val="TextBody"/>
        <w:bidi w:val="0"/>
        <w:spacing w:before="0" w:after="16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Authorized and Unissued Shares</w:t>
      </w:r>
      <w:r>
        <w:rPr>
          <w:rFonts w:ascii="Times New Roman;serif" w:hAnsi="Times New Roman;serif"/>
          <w:b w:val="false"/>
          <w:color w:val="000000"/>
          <w:sz w:val="20"/>
        </w:rPr>
        <w:t>. Our authorized and unissued shares of common stock are available for future issuance without stockholder approval except as may otherwise be required by applicable regulations or Delaware law. We may issue additional shares for a variety of purposes, including future offerings to raise additional capital, to fund acquisitions and as director, employee and consultant compensation. The existence of authorized but unissued shares of common stock could render more difficult, or discourage an attempt, to obtain control of the Company by means of a proxy contest, tender offer, merger or otherwise. In addition, the issuance of shares of preferred stock by the Company could have certain anti-takeover effects under certain circumstances and could enable the Board to render more difficult or discourage an attempt to obtain control of the Company by means of a merger, tender offer or other business combination transaction directed at the Company by, among other things, placing shares of preferred stock with investors who might align themselves with the Board.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Delaware Takeover Statute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subject to certain exceptions, prohibits a Delaware corporation from engaging in any business combination with any interested shareowner for a period of three years following the date that such shareowner became an interested shareowner.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Limitation on Liability of Directors and Indemnification of Directors and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Delaware law authorizes corporations to limit or eliminate the personal liability of directors and officers to corporations and their shareowners for monetary damages for certain breaches of fiduciary duties as directors or officers, as applicable, and our Certificate of Incorporation includes such an exculpation provision. Our Certificate of Incorporation includes provisions that require us to indemnify, to the fullest extent allowable under the DGCL, the personal liability of directors and officers for monetary damages for actions taken as a director, officer or agent of ours, or for serving at our request as a director, officer or agent at another corporation or enterprise, as the case may be. Our Certificate of Incorporation also provides that we must indemnify and advance reasonable expenses to our directors and officers subject to our receipt of an undertaking from the indemnified party as may be required under the DGCL. Our Certificate of Incorporation expressly authorizes us to carry directors’ and officers’ insurance to protect the Company and its directors, officers and agents for certain liabilities.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included in our Certificate of Incorporation may discourage shareowners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shareowners. However, these provisions do not limit or eliminate our rights, or those of any shareowner, to seek non-monetary relief such as injunction or rescission in the event of a breach of a director’s or officer’s duty of care. The provisions do not alter the liability of directors or officers under the federal securities laws. In addition, investors may be adversely affected to the extent that in a class action, derivative or direct suit, we pay the costs of settlement and damage awards against directors and officers pursuant to these indemnification provisions.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Exclusive Forum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in all cases to the fullest extent permitted by law, that unless we consent in writing to the selection of an alternative forum, the sole and exclusive forum for (i) any derivative action or proceeding brought on behalf of the Company, (ii) any action asserting a claim of breach of a fiduciary duty owed by any director, officer, other employee, shareowner or agent of the Company to the Company or its shareowners, (iii) any action asserting a claim arising pursuant to any provision of the DGCL, our Certificate of Incorporation or our By-Laws or (iv) any action asserting a claim governed by the internal affairs doctrine shall be a state or federal court located within the State of Delaware. Notwithstanding the foregoing, unless we consent in writing to the selection of an alternative forum, the federal district courts of the United States shall, to the fullest extent permitted by law, be the sole and exclusive forum for the resolution of any complaint asserting solely a cause of action arising under the Securities Act of 1933, as amended, or any rules or regulations promulgated thereunder. These exclusive forum provisions do not apply to any action brought to enforce a duty or liability created by the Exchange Act or any rules or regulations </w:t>
      </w:r>
    </w:p>
    <w:p>
      <w:pPr>
        <w:pStyle w:val="TextBody"/>
        <w:bidi w:val="0"/>
        <w:spacing w:before="0" w:after="16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promulgated thereunder, to the extent such application would be contrary to law. The exclusive forum provision may limit a shareowner’s ability to bring a claim in a judicial forum that it finds favorable for disputes with us or our directors, officers, other employees, shareowners or agents, which may discourage such lawsuits against us or our directors, officers, other employees, shareowners or agents.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10.20</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2025 STOCK INCENTIVE PLAN OF SOLSTICE ADVANCED MATERIALS INC. AND ITS AFFILIATES </w: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 xml:space="preserve">This RESTRICTED STOCK UNIT AGREEMENT made in Morris Plains, New Jersey, as of </w:t>
      </w:r>
      <w:r>
        <w:rPr>
          <w:rFonts w:ascii="Times New Roman;serif" w:hAnsi="Times New Roman;serif"/>
          <w:b/>
          <w:color w:val="000000"/>
          <w:sz w:val="20"/>
        </w:rPr>
        <w:t>###GRANT_DATE###</w:t>
      </w:r>
      <w:r>
        <w:rPr>
          <w:color w:val="000000"/>
        </w:rPr>
        <w:t xml:space="preserve"> </w:t>
      </w:r>
      <w:r>
        <w:rPr>
          <w:rFonts w:ascii="Times New Roman;serif" w:hAnsi="Times New Roman;serif"/>
          <w:b w:val="false"/>
          <w:color w:val="000000"/>
          <w:sz w:val="20"/>
        </w:rPr>
        <w:t xml:space="preserve">(“Grant Date”), between Solstice Advanced Materials Inc. (the “Company”) and </w:t>
      </w:r>
      <w:r>
        <w:rPr>
          <w:rFonts w:ascii="Times New Roman;serif" w:hAnsi="Times New Roman;serif"/>
          <w:b/>
          <w:color w:val="000000"/>
          <w:sz w:val="20"/>
        </w:rPr>
        <w:t>###PARTICIPANT_NAME###</w:t>
      </w:r>
      <w:r>
        <w:rPr>
          <w:color w:val="000000"/>
        </w:rPr>
        <w:t xml:space="preserve"> </w:t>
      </w:r>
      <w:r>
        <w:rPr>
          <w:rFonts w:ascii="Times New Roman;serif" w:hAnsi="Times New Roman;serif"/>
          <w:b w:val="false"/>
          <w:color w:val="000000"/>
          <w:sz w:val="20"/>
        </w:rPr>
        <w:t>(“Participant”).</w:t>
      </w:r>
    </w:p>
    <w:p>
      <w:pPr>
        <w:pStyle w:val="TextBody"/>
        <w:bidi w:val="0"/>
        <w:spacing w:lineRule="auto" w:line="288" w:before="0" w:after="240"/>
        <w:ind w:left="0" w:right="0" w:hanging="504"/>
        <w:jc w:val="both"/>
        <w:rPr/>
      </w:pPr>
      <w:r>
        <w:rPr>
          <w:rFonts w:ascii="Times New Roman;serif" w:hAnsi="Times New Roman;serif"/>
          <w:b/>
          <w:color w:val="000000"/>
          <w:sz w:val="20"/>
        </w:rPr>
        <w:t>1.Grant of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###TOTAL_AWARDS###</w:t>
      </w:r>
      <w:r>
        <w:rPr>
          <w:color w:val="000000"/>
        </w:rPr>
        <w:t xml:space="preserve"> </w:t>
      </w:r>
      <w:r>
        <w:rPr>
          <w:rFonts w:ascii="Times New Roman;serif" w:hAnsi="Times New Roman;serif"/>
          <w:b w:val="false"/>
          <w:color w:val="000000"/>
          <w:sz w:val="20"/>
        </w:rPr>
        <w:t xml:space="preserve">Restricted Stock Units, subject to the provisions of this Agreement and the 2025 Stock Incentive Plan of Solstice Advanced Materials Inc. and Its Affiliates (the “Plan”). The Company will hold the Restricted Stock Units and Additional Restricted Stock Units (as defined in Section 2) in a bookkeeping account on your behalf until they become payable or are forfeited or cancelled. </w:t>
      </w:r>
    </w:p>
    <w:p>
      <w:pPr>
        <w:pStyle w:val="TextBody"/>
        <w:bidi w:val="0"/>
        <w:spacing w:lineRule="auto" w:line="288" w:before="0" w:after="240"/>
        <w:jc w:val="both"/>
        <w:rPr/>
      </w:pPr>
      <w:r>
        <w:rPr>
          <w:rFonts w:ascii="Times New Roman;serif" w:hAnsi="Times New Roman;serif"/>
          <w:b w:val="false"/>
          <w:color w:val="000000"/>
          <w:sz w:val="20"/>
        </w:rPr>
        <w:t xml:space="preserve">The Restricted Stock Unit Plan Details for this grant can be found on the Morgan Stanley StockPlan Connect website at </w:t>
      </w:r>
      <w:r>
        <w:rPr>
          <w:rFonts w:ascii="Times New Roman;serif" w:hAnsi="Times New Roman;serif"/>
          <w:b w:val="false"/>
          <w:color w:val="000000"/>
          <w:sz w:val="20"/>
          <w:u w:val="single"/>
        </w:rPr>
        <w:t>www.stockplanconnect.com</w:t>
      </w:r>
      <w:r>
        <w:rPr>
          <w:rFonts w:ascii="Times New Roman;serif" w:hAnsi="Times New Roman;serif"/>
          <w:b w:val="false"/>
          <w:color w:val="000000"/>
          <w:sz w:val="20"/>
        </w:rPr>
        <w:t xml:space="preserve">. The Company reserves the right to change or correct any information contained on the Morgan Stanley StockPlan Connect website to reflect the terms of the Award actually made by the Company on the Grant Date or the Plan.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2.Dividend Equivalents. </w:t>
      </w:r>
      <w:r>
        <w:rPr>
          <w:rFonts w:ascii="Times New Roman;serif" w:hAnsi="Times New Roman;serif"/>
          <w:b w:val="false"/>
          <w:color w:val="000000"/>
          <w:sz w:val="20"/>
        </w:rPr>
        <w:t xml:space="preserve">Except as 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t>
      </w:r>
    </w:p>
    <w:p>
      <w:pPr>
        <w:pStyle w:val="TextBody"/>
        <w:bidi w:val="0"/>
        <w:spacing w:lineRule="auto" w:line="288" w:before="0" w:after="240"/>
        <w:ind w:left="0" w:right="0" w:hanging="504"/>
        <w:jc w:val="both"/>
        <w:rPr/>
      </w:pPr>
      <w:r>
        <w:rPr>
          <w:rFonts w:ascii="Times New Roman;serif" w:hAnsi="Times New Roman;serif"/>
          <w:b/>
          <w:color w:val="000000"/>
          <w:sz w:val="20"/>
        </w:rPr>
        <w:t>3.Payment Amount.</w:t>
      </w:r>
      <w:r>
        <w:rPr>
          <w:color w:val="000000"/>
        </w:rPr>
        <w:t xml:space="preserve"> </w:t>
      </w:r>
      <w:r>
        <w:rPr>
          <w:rFonts w:ascii="Times New Roman;serif" w:hAnsi="Times New Roman;serif"/>
          <w:b w:val="false"/>
          <w:color w:val="000000"/>
          <w:sz w:val="20"/>
        </w:rPr>
        <w:t xml:space="preserve">Each Restricted Stock Unit and Additional Restricted Stock Unit represents one (1) Share of Common Stock. </w:t>
      </w:r>
    </w:p>
    <w:p>
      <w:pPr>
        <w:pStyle w:val="TextBody"/>
        <w:bidi w:val="0"/>
        <w:spacing w:lineRule="auto" w:line="288" w:before="0" w:after="240"/>
        <w:ind w:left="0" w:right="0" w:hanging="504"/>
        <w:jc w:val="both"/>
        <w:rPr/>
      </w:pPr>
      <w:r>
        <w:rPr>
          <w:rFonts w:ascii="Times New Roman;serif" w:hAnsi="Times New Roman;serif"/>
          <w:b/>
          <w:color w:val="000000"/>
          <w:sz w:val="20"/>
        </w:rPr>
        <w:t>4.Vesting.</w:t>
      </w:r>
      <w:r>
        <w:rPr>
          <w:color w:val="000000"/>
        </w:rPr>
        <w:t xml:space="preserve"> </w:t>
      </w:r>
      <w:r>
        <w:rPr>
          <w:rFonts w:ascii="Times New Roman;serif" w:hAnsi="Times New Roman;serif"/>
          <w:b w:val="false"/>
          <w:color w:val="000000"/>
          <w:sz w:val="20"/>
        </w:rPr>
        <w:t>Except in the event of your Termination of Employment due to death or Disability,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pStyle w:val="TextBody"/>
        <w:bidi w:val="0"/>
        <w:spacing w:lineRule="auto" w:line="288" w:before="0" w:after="3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###VEST_SCHEDULE_TABLE###</w:t>
      </w:r>
    </w:p>
    <w:p>
      <w:pPr>
        <w:pStyle w:val="TextBody"/>
        <w:bidi w:val="0"/>
        <w:spacing w:lineRule="auto" w:line="288" w:before="0" w:after="240"/>
        <w:ind w:left="0" w:right="0" w:hanging="504"/>
        <w:jc w:val="both"/>
        <w:rPr/>
      </w:pPr>
      <w:r>
        <w:rPr>
          <w:rFonts w:ascii="Times New Roman;serif" w:hAnsi="Times New Roman;serif"/>
          <w:b/>
          <w:color w:val="000000"/>
          <w:sz w:val="20"/>
        </w:rPr>
        <w:t>5.Form and Timing of Payment.</w:t>
      </w:r>
      <w:r>
        <w:rPr>
          <w:color w:val="000000"/>
        </w:rPr>
        <w:t xml:space="preserve"> </w:t>
      </w:r>
      <w:r>
        <w:rPr>
          <w:rFonts w:ascii="Times New Roman;serif" w:hAnsi="Times New Roman;serif"/>
          <w:b w:val="false"/>
          <w:color w:val="000000"/>
          <w:sz w:val="20"/>
        </w:rPr>
        <w:t xml:space="preserve">Vested Restricted Stock Units will be redeemed solely for Shares. Except as otherwise determined by the Company, in its sole discretion, vested Additional Restricted Stock Units will be redeemed solely for Shares. Except as otherwise provided in Section 7(b) below, payment of vested Restricted Stock Units and Additional Restricted Stock Units will be made as soon as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pStyle w:val="TextBody"/>
        <w:bidi w:val="0"/>
        <w:spacing w:lineRule="auto" w:line="288" w:before="0" w:after="240"/>
        <w:ind w:left="0" w:right="0" w:hanging="504"/>
        <w:jc w:val="both"/>
        <w:rPr/>
      </w:pPr>
      <w:r>
        <w:rPr>
          <w:rFonts w:ascii="Times New Roman;serif" w:hAnsi="Times New Roman;serif"/>
          <w:b/>
          <w:color w:val="000000"/>
          <w:sz w:val="20"/>
        </w:rPr>
        <w:t>6.Termination of Employment.</w:t>
      </w:r>
      <w:r>
        <w:rPr>
          <w:color w:val="000000"/>
        </w:rPr>
        <w:t xml:space="preserve"> </w:t>
      </w:r>
      <w:r>
        <w:rPr>
          <w:rFonts w:ascii="Times New Roman;serif" w:hAnsi="Times New Roman;serif"/>
          <w:b w:val="false"/>
          <w:color w:val="000000"/>
          <w:sz w:val="20"/>
        </w:rPr>
        <w:t xml:space="preserve">Except as otherwise provided in Sections 7(a) and 8 of this Agreement, any Restricted Stock Units and Additional Restricted Stock Units that have not vested as of your Termination of Employment will immediately be forfeited, and your rights with respect to these Restricted Stock Units and Additional Restricted Stock Units will end. </w:t>
      </w:r>
    </w:p>
    <w:p>
      <w:pPr>
        <w:pStyle w:val="TextBody"/>
        <w:bidi w:val="0"/>
        <w:spacing w:lineRule="auto" w:line="288" w:before="0" w:after="240"/>
        <w:ind w:left="0" w:right="0" w:hanging="504"/>
        <w:jc w:val="both"/>
        <w:rPr/>
      </w:pPr>
      <w:r>
        <w:rPr>
          <w:rFonts w:ascii="Times New Roman;serif" w:hAnsi="Times New Roman;serif"/>
          <w:b/>
          <w:color w:val="000000"/>
          <w:sz w:val="20"/>
        </w:rPr>
        <w:t>7.Retirement, Death or Disability.</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a.Vesting. </w:t>
      </w:r>
      <w:r>
        <w:rPr>
          <w:rFonts w:ascii="Times New Roman;serif" w:hAnsi="Times New Roman;serif"/>
          <w:b w:val="false"/>
          <w:color w:val="000000"/>
          <w:sz w:val="20"/>
        </w:rPr>
        <w:t>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your Termination of Employment due to Retirement occurs before the vesting date described in Section 4 of this Agreement, all unvested Restricted Stock Units and Additional Restricted Stock Units will be forfeited and your rights with respect to any award under this Agreement will terminate.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b.Payment. </w:t>
      </w:r>
      <w:r>
        <w:rPr>
          <w:rFonts w:ascii="Times New Roman;serif" w:hAnsi="Times New Roman;serif"/>
          <w:b w:val="false"/>
          <w:color w:val="000000"/>
          <w:sz w:val="20"/>
        </w:rPr>
        <w:t xml:space="preserve">If your Termination of Employment occurs due to death or Disability before the vesting date described in 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 </w:t>
      </w:r>
    </w:p>
    <w:p>
      <w:pPr>
        <w:pStyle w:val="TextBody"/>
        <w:bidi w:val="0"/>
        <w:spacing w:lineRule="auto" w:line="288" w:before="0" w:after="240"/>
        <w:ind w:left="0" w:right="0" w:hanging="504"/>
        <w:jc w:val="both"/>
        <w:rPr/>
      </w:pPr>
      <w:r>
        <w:rPr>
          <w:rFonts w:ascii="Times New Roman;serif" w:hAnsi="Times New Roman;serif"/>
          <w:b/>
          <w:color w:val="000000"/>
          <w:sz w:val="20"/>
        </w:rPr>
        <w:t>8.Change in Control.</w:t>
      </w:r>
      <w:r>
        <w:rPr>
          <w:color w:val="000000"/>
        </w:rPr>
        <w:t xml:space="preserve"> </w:t>
      </w:r>
      <w:r>
        <w:rPr>
          <w:rFonts w:ascii="Times New Roman;serif" w:hAnsi="Times New Roman;serif"/>
          <w:b w:val="false"/>
          <w:color w:val="000000"/>
          <w:sz w:val="20"/>
        </w:rPr>
        <w:t>In the event of a Change in Control (as defined in the Plan), the following provisions apply:</w:t>
      </w:r>
    </w:p>
    <w:p>
      <w:pPr>
        <w:pStyle w:val="TextBody"/>
        <w:bidi w:val="0"/>
        <w:spacing w:lineRule="auto" w:line="288" w:before="0" w:after="24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Unless adjusted or exchanged pursuant to Section 5.3(c) or 5.3(d)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lineRule="auto" w:line="288" w:before="0" w:after="24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Termination of Employment not for Cause (as defined in Section 2.7 of the Plan) or a voluntary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 </w:t>
      </w:r>
    </w:p>
    <w:p>
      <w:pPr>
        <w:pStyle w:val="TextBody"/>
        <w:bidi w:val="0"/>
        <w:spacing w:lineRule="auto" w:line="288" w:before="0" w:after="240"/>
        <w:ind w:left="0" w:right="0" w:hanging="504"/>
        <w:jc w:val="both"/>
        <w:rPr/>
      </w:pPr>
      <w:r>
        <w:rPr>
          <w:rFonts w:ascii="Times New Roman;serif" w:hAnsi="Times New Roman;serif"/>
          <w:b/>
          <w:color w:val="000000"/>
          <w:sz w:val="20"/>
        </w:rPr>
        <w:t>9.Withholdings.</w:t>
      </w:r>
      <w:r>
        <w:rPr>
          <w:color w:val="000000"/>
        </w:rPr>
        <w:t xml:space="preserve"> </w:t>
      </w:r>
      <w:r>
        <w:rPr>
          <w:rFonts w:ascii="Times New Roman;serif" w:hAnsi="Times New Roman;serif"/>
          <w:b w:val="false"/>
          <w:color w:val="000000"/>
          <w:sz w:val="20"/>
        </w:rPr>
        <w:t xml:space="preserve">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 </w:t>
      </w:r>
    </w:p>
    <w:p>
      <w:pPr>
        <w:pStyle w:val="TextBody"/>
        <w:bidi w:val="0"/>
        <w:spacing w:lineRule="auto" w:line="288" w:before="0" w:after="240"/>
        <w:ind w:left="0" w:right="0" w:hanging="504"/>
        <w:jc w:val="both"/>
        <w:rPr/>
      </w:pPr>
      <w:r>
        <w:rPr>
          <w:rFonts w:ascii="Times New Roman;serif" w:hAnsi="Times New Roman;serif"/>
          <w:b/>
          <w:color w:val="000000"/>
          <w:sz w:val="20"/>
        </w:rPr>
        <w:t>10.Transfer of Award.</w:t>
      </w:r>
      <w:r>
        <w:rPr>
          <w:color w:val="000000"/>
        </w:rPr>
        <w:t xml:space="preserve"> </w:t>
      </w:r>
      <w:r>
        <w:rPr>
          <w:rFonts w:ascii="Times New Roman;serif" w:hAnsi="Times New Roman;serif"/>
          <w:b w:val="false"/>
          <w:color w:val="000000"/>
          <w:sz w:val="20"/>
        </w:rPr>
        <w:t xml:space="preserve">You may not transfer the Restricted Stock Units, Additional Restricted Stock Units or any interest in such Units except by will or the laws of descent and distribution. Any other attempt to dispose of your interest will be null and void. </w:t>
      </w:r>
    </w:p>
    <w:p>
      <w:pPr>
        <w:pStyle w:val="TextBody"/>
        <w:bidi w:val="0"/>
        <w:spacing w:lineRule="auto" w:line="288" w:before="0" w:after="240"/>
        <w:ind w:left="0" w:right="0" w:hanging="504"/>
        <w:jc w:val="both"/>
        <w:rPr/>
      </w:pPr>
      <w:r>
        <w:rPr>
          <w:rFonts w:ascii="Times New Roman;serif" w:hAnsi="Times New Roman;serif"/>
          <w:b/>
          <w:color w:val="000000"/>
          <w:sz w:val="20"/>
        </w:rPr>
        <w:t>11.Requirements for and Forfeiture of Award.</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a.General. </w:t>
      </w:r>
      <w:r>
        <w:rPr>
          <w:rFonts w:ascii="Times New Roman;serif" w:hAnsi="Times New Roman;serif"/>
          <w:b w:val="false"/>
          <w:color w:val="000000"/>
          <w:sz w:val="20"/>
        </w:rPr>
        <w:t xml:space="preserve">The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 </w:t>
      </w:r>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b.Remedies. </w:t>
      </w:r>
    </w:p>
    <w:p>
      <w:pPr>
        <w:pStyle w:val="TextBody"/>
        <w:bidi w:val="0"/>
        <w:spacing w:lineRule="auto" w:line="288" w:before="0" w:after="240"/>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 xml:space="preserve">You expressly agree and acknowledge that the forfeiture provisions of subsection 11.b.2. of this Agreement shall apply if (A) you are terminated for Cause (as defined in the Plan)[ or you voluntarily terminate your employment with less than a 30-day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Advanced Materials Inc.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lineRule="auto" w:line="288" w:before="0" w:after="24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employment with less than a 30-day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 Termination of Employment] for Cause [or voluntary termination without sufficient notice], or (y) the date of your Termination of Employment in the case of a termination for Cause [or voluntary termination without sufficient notice], as applicable.</w:t>
      </w:r>
    </w:p>
    <w:p>
      <w:pPr>
        <w:pStyle w:val="TextBody"/>
        <w:bidi w:val="0"/>
        <w:spacing w:lineRule="auto" w:line="288" w:before="0" w:after="240"/>
        <w:ind w:left="0" w:right="0" w:hanging="360"/>
        <w:jc w:val="both"/>
        <w:rPr/>
      </w:pPr>
      <w:r>
        <w:rPr>
          <w:rFonts w:ascii="Times New Roman;serif" w:hAnsi="Times New Roman;serif"/>
          <w:b/>
          <w:color w:val="000000"/>
          <w:sz w:val="20"/>
        </w:rPr>
        <w:t>3.</w:t>
      </w:r>
      <w:r>
        <w:rPr>
          <w:rFonts w:ascii="Times New Roman;serif" w:hAnsi="Times New Roman;serif"/>
          <w:b w:val="false"/>
          <w:color w:val="000000"/>
          <w:sz w:val="20"/>
        </w:rPr>
        <w:t xml:space="preserve">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 </w:t>
      </w:r>
    </w:p>
    <w:p>
      <w:pPr>
        <w:pStyle w:val="TextBody"/>
        <w:bidi w:val="0"/>
        <w:spacing w:lineRule="auto" w:line="288" w:before="0" w:after="240"/>
        <w:ind w:left="0" w:right="0" w:hanging="504"/>
        <w:jc w:val="both"/>
        <w:rPr/>
      </w:pPr>
      <w:r>
        <w:rPr>
          <w:rFonts w:ascii="Times New Roman;serif" w:hAnsi="Times New Roman;serif"/>
          <w:b/>
          <w:color w:val="000000"/>
          <w:sz w:val="20"/>
        </w:rPr>
        <w:t>12.Restrictions on Payment of Shares.</w:t>
      </w:r>
      <w:r>
        <w:rPr>
          <w:color w:val="000000"/>
        </w:rPr>
        <w:t xml:space="preserve"> </w:t>
      </w:r>
      <w:r>
        <w:rPr>
          <w:rFonts w:ascii="Times New Roman;serif" w:hAnsi="Times New Roman;serif"/>
          <w:b w:val="false"/>
          <w:color w:val="000000"/>
          <w:sz w:val="20"/>
        </w:rPr>
        <w:t>Payment of Shares for your Restricted Stock Units and Additional 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lineRule="auto" w:line="288" w:before="0" w:after="240"/>
        <w:ind w:left="0" w:right="0" w:hanging="504"/>
        <w:jc w:val="both"/>
        <w:rPr/>
      </w:pPr>
      <w:r>
        <w:rPr>
          <w:rFonts w:ascii="Times New Roman;serif" w:hAnsi="Times New Roman;serif"/>
          <w:b/>
          <w:color w:val="000000"/>
          <w:sz w:val="20"/>
        </w:rPr>
        <w:t>13.Adjustments.</w:t>
      </w:r>
      <w:r>
        <w:rPr>
          <w:color w:val="000000"/>
        </w:rPr>
        <w:t xml:space="preserve"> </w:t>
      </w:r>
      <w:r>
        <w:rPr>
          <w:rFonts w:ascii="Times New Roman;serif" w:hAnsi="Times New Roman;serif"/>
          <w:b w:val="false"/>
          <w:color w:val="000000"/>
          <w:sz w:val="20"/>
        </w:rPr>
        <w:t xml:space="preserve">Any adjustments to the Restricted Stock Units and Additional Restricted Stock Units will be governed by Section 5.3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ind w:left="0" w:right="0" w:hanging="504"/>
        <w:jc w:val="both"/>
        <w:rPr/>
      </w:pPr>
      <w:r>
        <w:rPr>
          <w:rFonts w:ascii="Times New Roman;serif" w:hAnsi="Times New Roman;serif"/>
          <w:b/>
          <w:color w:val="000000"/>
          <w:sz w:val="20"/>
        </w:rPr>
        <w:t>14.Disposition of Securities.</w:t>
      </w:r>
      <w:r>
        <w:rPr>
          <w:color w:val="000000"/>
        </w:rPr>
        <w:t xml:space="preserve"> </w:t>
      </w:r>
      <w:r>
        <w:rPr>
          <w:rFonts w:ascii="Times New Roman;serif" w:hAnsi="Times New Roman;serif"/>
          <w:b w:val="false"/>
          <w:color w:val="000000"/>
          <w:sz w:val="20"/>
        </w:rPr>
        <w:t xml:space="preserve">By accepting the Award, you acknowledge that you have read and understand the Company’s policy, and are aware of and understand your obligations under applicable securities laws in respect of trading in the Company’s securities.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 </w:t>
      </w:r>
    </w:p>
    <w:p>
      <w:pPr>
        <w:pStyle w:val="TextBody"/>
        <w:bidi w:val="0"/>
        <w:spacing w:lineRule="auto" w:line="288" w:before="0" w:after="240"/>
        <w:ind w:left="0" w:right="0" w:hanging="504"/>
        <w:jc w:val="both"/>
        <w:rPr/>
      </w:pPr>
      <w:r>
        <w:rPr>
          <w:rFonts w:ascii="Times New Roman;serif" w:hAnsi="Times New Roman;serif"/>
          <w:b/>
          <w:color w:val="000000"/>
          <w:sz w:val="20"/>
        </w:rPr>
        <w:t>15.Plan Terms Govern.</w:t>
      </w:r>
      <w:r>
        <w:rPr>
          <w:color w:val="000000"/>
        </w:rPr>
        <w:t xml:space="preserve"> </w:t>
      </w:r>
      <w:r>
        <w:rPr>
          <w:rFonts w:ascii="Times New Roman;serif" w:hAnsi="Times New Roman;serif"/>
          <w:b w:val="false"/>
          <w:color w:val="000000"/>
          <w:sz w:val="20"/>
        </w:rPr>
        <w:t xml:space="preserve">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t>
      </w:r>
    </w:p>
    <w:p>
      <w:pPr>
        <w:pStyle w:val="TextBody"/>
        <w:bidi w:val="0"/>
        <w:spacing w:lineRule="auto" w:line="288" w:before="0" w:after="240"/>
        <w:ind w:left="0" w:right="0" w:hanging="504"/>
        <w:jc w:val="both"/>
        <w:rPr/>
      </w:pPr>
      <w:r>
        <w:rPr>
          <w:rFonts w:ascii="Times New Roman;serif" w:hAnsi="Times New Roman;serif"/>
          <w:b/>
          <w:color w:val="000000"/>
          <w:sz w:val="20"/>
        </w:rPr>
        <w:t>16.Personal Data.</w:t>
      </w:r>
      <w:r>
        <w:rPr>
          <w:color w:val="000000"/>
        </w:rPr>
        <w:t xml:space="preserve"> </w:t>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By entering into this Agreement, and as a condition of the grant of the Restricted Stock Units, you expressly consent to the collection, use, and transfer of personal data as described in this Section to the full extent permitted by and in full compliance with applicable law.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 xml:space="preserve">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before="0" w:after="0"/>
        <w:jc w:val="both"/>
        <w:rPr/>
      </w:pPr>
      <w:r>
        <w:rPr/>
      </w:r>
    </w:p>
    <w:p>
      <w:pPr>
        <w:pStyle w:val="TextBody"/>
        <w:bidi w:val="0"/>
        <w:spacing w:lineRule="auto" w:line="288" w:before="0" w:after="240"/>
        <w:ind w:left="0" w:right="0" w:hanging="504"/>
        <w:jc w:val="both"/>
        <w:rPr/>
      </w:pPr>
      <w:r>
        <w:rPr>
          <w:rFonts w:ascii="Times New Roman;serif" w:hAnsi="Times New Roman;serif"/>
          <w:b/>
          <w:color w:val="000000"/>
          <w:sz w:val="20"/>
        </w:rPr>
        <w:t>17.Discretionary Nature and Acceptance of Award</w:t>
      </w:r>
      <w:r>
        <w:rPr>
          <w:rFonts w:ascii="Times New Roman;serif" w:hAnsi="Times New Roman;serif"/>
          <w:b w:val="false"/>
          <w:color w:val="000000"/>
          <w:sz w:val="20"/>
        </w:rPr>
        <w:t xml:space="preserve">. By accepting this Award, you agree to be bound by the terms of this Agreement and acknowledge that: </w:t>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The Company (and not your local employer) is granting your Restricted Stock Units and Additional Restricted Stock Units. Furthermore, this Agreement is not derived from any preexisting labor relationship between you and the Company, but rather from a mercantile relationship.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The Company may administer the Plan from outside your country of residence and United States law will govern all Restricted Stock Units and Additional Restricted Stock Units granted under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Benefits and rights provided under the Plan are wholly discretionary and, although provided by the Company, do not constitute regular or periodic payments.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 xml:space="preserve">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Participation in the Plan will not be deemed to constitute, and will not be deemed by you to constitute, an employment or labor relationship of any kind with the Company.</w:t>
      </w:r>
    </w:p>
    <w:p>
      <w:pPr>
        <w:pStyle w:val="TextBody"/>
        <w:bidi w:val="0"/>
        <w:spacing w:lineRule="auto" w:line="288" w:before="0" w:after="240"/>
        <w:ind w:left="0" w:right="0" w:hanging="504"/>
        <w:jc w:val="both"/>
        <w:rPr/>
      </w:pPr>
      <w:r>
        <w:rPr>
          <w:rFonts w:ascii="Times New Roman;serif" w:hAnsi="Times New Roman;serif"/>
          <w:b/>
          <w:color w:val="000000"/>
          <w:sz w:val="20"/>
        </w:rPr>
        <w:t>18.Limitations.</w:t>
      </w:r>
      <w:r>
        <w:rPr>
          <w:color w:val="000000"/>
        </w:rPr>
        <w:t xml:space="preserve"> </w:t>
      </w:r>
      <w:r>
        <w:rPr>
          <w:rFonts w:ascii="Times New Roman;serif" w:hAnsi="Times New Roman;serif"/>
          <w:b w:val="false"/>
          <w:color w:val="000000"/>
          <w:sz w:val="20"/>
        </w:rPr>
        <w:t>Nothing in this Agreement or the Plan gives you any right to continue in the employ of the Company 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w:t>
      </w:r>
      <w:r>
        <w:rPr>
          <w:color w:val="FF0000"/>
        </w:rPr>
        <w:t xml:space="preserve"> </w:t>
      </w:r>
      <w:r>
        <w:rPr>
          <w:rFonts w:ascii="Times New Roman;serif" w:hAnsi="Times New Roman;serif"/>
          <w:b w:val="false"/>
          <w:color w:val="000000"/>
          <w:sz w:val="20"/>
        </w:rPr>
        <w:t xml:space="preserve">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Restricted Stock Units or Additional Restricted Stock Units until Shares are actually delivered to you. </w:t>
      </w:r>
    </w:p>
    <w:p>
      <w:pPr>
        <w:pStyle w:val="TextBody"/>
        <w:bidi w:val="0"/>
        <w:spacing w:lineRule="auto" w:line="288" w:before="0" w:after="240"/>
        <w:ind w:left="0" w:right="0" w:hanging="504"/>
        <w:jc w:val="both"/>
        <w:rPr/>
      </w:pPr>
      <w:r>
        <w:rPr>
          <w:rFonts w:ascii="Times New Roman;serif" w:hAnsi="Times New Roman;serif"/>
          <w:b/>
          <w:color w:val="000000"/>
          <w:sz w:val="20"/>
        </w:rPr>
        <w:t>19.Incorporation of Other Agreements.</w:t>
      </w:r>
      <w:r>
        <w:rPr>
          <w:color w:val="000000"/>
        </w:rPr>
        <w:t xml:space="preserve"> </w:t>
      </w:r>
      <w:r>
        <w:rPr>
          <w:rFonts w:ascii="Times New Roman;serif" w:hAnsi="Times New Roman;serif"/>
          <w:b w:val="false"/>
          <w:color w:val="000000"/>
          <w:sz w:val="20"/>
        </w:rPr>
        <w:t xml:space="preserve">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 </w:t>
      </w:r>
    </w:p>
    <w:p>
      <w:pPr>
        <w:pStyle w:val="TextBody"/>
        <w:bidi w:val="0"/>
        <w:spacing w:lineRule="auto" w:line="288" w:before="0" w:after="240"/>
        <w:ind w:left="0" w:right="0" w:hanging="504"/>
        <w:jc w:val="both"/>
        <w:rPr/>
      </w:pPr>
      <w:r>
        <w:rPr>
          <w:rFonts w:ascii="Times New Roman;serif" w:hAnsi="Times New Roman;serif"/>
          <w:b/>
          <w:color w:val="000000"/>
          <w:sz w:val="20"/>
        </w:rPr>
        <w:t>20.Severability.</w:t>
      </w:r>
      <w:r>
        <w:rPr>
          <w:color w:val="000000"/>
        </w:rPr>
        <w:t xml:space="preserve"> </w:t>
      </w:r>
      <w:r>
        <w:rPr>
          <w:rFonts w:ascii="Times New Roman;serif" w:hAnsi="Times New Roman;serif"/>
          <w:b w:val="false"/>
          <w:color w:val="000000"/>
          <w:sz w:val="20"/>
        </w:rPr>
        <w:t xml:space="preserve">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21.Governing Law. </w:t>
      </w:r>
      <w:r>
        <w:rPr>
          <w:rFonts w:ascii="Times New Roman;serif" w:hAnsi="Times New Roman;serif"/>
          <w:b w:val="false"/>
          <w:color w:val="000000"/>
          <w:sz w:val="20"/>
        </w:rPr>
        <w:t xml:space="preserve">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22.Agreement Changes. </w:t>
      </w:r>
      <w:r>
        <w:rPr>
          <w:rFonts w:ascii="Times New Roman;serif" w:hAnsi="Times New Roman;serif"/>
          <w:b w:val="false"/>
          <w:color w:val="000000"/>
          <w:sz w:val="20"/>
        </w:rPr>
        <w:t xml:space="preserve">The Company reserves the right to change the terms of this Agreement and the Plan without your consent to the extent necessary or desirable to comply with the requirements of Code section 409A, the Treasury regulations and other guidance thereunder. </w:t>
      </w:r>
    </w:p>
    <w:p>
      <w:pPr>
        <w:pStyle w:val="TextBody"/>
        <w:bidi w:val="0"/>
        <w:spacing w:lineRule="auto" w:line="288" w:before="0" w:after="240"/>
        <w:ind w:left="0" w:right="0" w:hanging="504"/>
        <w:jc w:val="both"/>
        <w:rPr/>
      </w:pPr>
      <w:r>
        <w:rPr>
          <w:rFonts w:ascii="Times New Roman;serif" w:hAnsi="Times New Roman;serif"/>
          <w:b/>
          <w:color w:val="000000"/>
          <w:sz w:val="20"/>
        </w:rPr>
        <w:t>23.Acknowledgements and Acceptance.</w:t>
      </w:r>
      <w:r>
        <w:rPr>
          <w:color w:val="000000"/>
        </w:rPr>
        <w:t xml:space="preserve"> </w:t>
      </w:r>
      <w:r>
        <w:rPr>
          <w:rFonts w:ascii="Times New Roman;serif" w:hAnsi="Times New Roman;serif"/>
          <w:b w:val="false"/>
          <w:color w:val="000000"/>
          <w:sz w:val="20"/>
        </w:rPr>
        <w:t xml:space="preserve">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retain this Award, you must accept it on the Morgan Stanley website.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US, GLOBAL</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STOCK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SOLSTICE ADVANCED MATERIALS INC. AND ITS AFFILIATES</w:t>
      </w:r>
    </w:p>
    <w:p>
      <w:pPr>
        <w:pStyle w:val="TextBody"/>
        <w:bidi w:val="0"/>
        <w:spacing w:lineRule="auto" w:line="288" w:before="227" w:after="283"/>
        <w:jc w:val="center"/>
        <w:rPr>
          <w:rFonts w:ascii="Times New Roman;serif" w:hAnsi="Times New Roman;serif"/>
          <w:b/>
          <w:color w:val="000000"/>
          <w:sz w:val="20"/>
        </w:rPr>
      </w:pPr>
      <w:r>
        <w:rPr>
          <w:rFonts w:ascii="Times New Roman;serif" w:hAnsi="Times New Roman;serif"/>
          <w:b/>
          <w:color w:val="000000"/>
          <w:sz w:val="20"/>
        </w:rPr>
        <w:t>STOCK OPTION AWARD AGREEMENT</w:t>
      </w:r>
    </w:p>
    <w:p>
      <w:pPr>
        <w:pStyle w:val="TextBody"/>
        <w:bidi w:val="0"/>
        <w:spacing w:before="227"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OPTION AWARD AGREEMENT made in Morris Plains, New Jersey, as of ###GRANT_DATE### (“Grant Date”), between Solstice Advanced Materials Inc. (the “Company”) and ###PARTICIPANT_NAME### (“Participant”).</w:t>
      </w:r>
    </w:p>
    <w:p>
      <w:pPr>
        <w:pStyle w:val="TextBody"/>
        <w:bidi w:val="0"/>
        <w:spacing w:before="4"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1.Grant of Option. </w:t>
      </w:r>
      <w:r>
        <w:rPr>
          <w:rFonts w:ascii="Times New Roman;serif" w:hAnsi="Times New Roman;serif"/>
          <w:b w:val="false"/>
          <w:color w:val="000000"/>
          <w:sz w:val="20"/>
        </w:rPr>
        <w:t xml:space="preserve">The Company has granted you an Option to purchase </w:t>
      </w:r>
      <w:r>
        <w:rPr>
          <w:rFonts w:ascii="Times New Roman;serif" w:hAnsi="Times New Roman;serif"/>
          <w:b/>
          <w:color w:val="000000"/>
          <w:sz w:val="20"/>
        </w:rPr>
        <w:t>###TOTAL_AWARDS###</w:t>
      </w:r>
      <w:r>
        <w:rPr>
          <w:color w:val="000000"/>
        </w:rPr>
        <w:t xml:space="preserve"> </w:t>
      </w:r>
      <w:r>
        <w:rPr>
          <w:rFonts w:ascii="Times New Roman;serif" w:hAnsi="Times New Roman;serif"/>
          <w:b w:val="false"/>
          <w:color w:val="000000"/>
          <w:sz w:val="20"/>
        </w:rPr>
        <w:t>Shares of Common Stock, subject to the provisions of this Agreement and the 2025 Stock Incentive Plan of Solstice Advanced Materials Inc. and Its Affiliates (the “Plan”). This Option is a nonqualified Option.</w:t>
      </w:r>
    </w:p>
    <w:p>
      <w:pPr>
        <w:pStyle w:val="TextBody"/>
        <w:bidi w:val="0"/>
        <w:spacing w:before="4"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Stock Option Plan Details for this grant can be found on the Morgan Stanley At Work website at www.stockplanconnect.com. The Company reserves the right to change or correct any information contained on the Morgan Stanley At Work website to reflect the terms of the Award actually made by the Company on the Grant Date or the Plan.</w:t>
      </w:r>
    </w:p>
    <w:p>
      <w:pPr>
        <w:pStyle w:val="TextBody"/>
        <w:bidi w:val="0"/>
        <w:spacing w:before="2"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2.Exercise Price. </w:t>
      </w:r>
      <w:r>
        <w:rPr>
          <w:rFonts w:ascii="Times New Roman;serif" w:hAnsi="Times New Roman;serif"/>
          <w:b w:val="false"/>
          <w:color w:val="000000"/>
          <w:sz w:val="20"/>
        </w:rPr>
        <w:t>The purchase price of the Shares covered by the Option will be ###GRANT_PRICE### per Share (“Exercise Price” or “Grant Price”).</w:t>
      </w:r>
    </w:p>
    <w:p>
      <w:pPr>
        <w:pStyle w:val="TextBody"/>
        <w:bidi w:val="0"/>
        <w:spacing w:before="4"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3.Vesting. </w:t>
      </w:r>
      <w:r>
        <w:rPr>
          <w:rFonts w:ascii="Times New Roman;serif" w:hAnsi="Times New Roman;serif"/>
          <w:b w:val="false"/>
          <w:color w:val="000000"/>
          <w:sz w:val="20"/>
        </w:rPr>
        <w:t>Except in the event of a Termination of Employment due to your death or Disability or as otherwise provided in Section 8 of this Agreement relating to a Change in Control, the Option will become exercisable as provided on the attached Vesting Schedule Table, which is incorporated into, and made a part of, this Agreement.</w:t>
      </w:r>
    </w:p>
    <w:p>
      <w:pPr>
        <w:pStyle w:val="TextBody"/>
        <w:bidi w:val="0"/>
        <w:spacing w:before="0" w:after="0"/>
        <w:ind w:left="0" w:right="0" w:hanging="504"/>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###VEST_SCHEDULE_TABLE###</w:t>
      </w:r>
    </w:p>
    <w:p>
      <w:pPr>
        <w:pStyle w:val="TextBody"/>
        <w:bidi w:val="0"/>
        <w:spacing w:before="4"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4.Term of Option. </w:t>
      </w:r>
      <w:r>
        <w:rPr>
          <w:rFonts w:ascii="Times New Roman;serif" w:hAnsi="Times New Roman;serif"/>
          <w:b w:val="false"/>
          <w:color w:val="000000"/>
          <w:sz w:val="20"/>
        </w:rPr>
        <w:t>The Option must be exercised prior to the close of The Nasdaq Stock Market LLC (“Nasdaq”) on the day 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pStyle w:val="TextBody"/>
        <w:bidi w:val="0"/>
        <w:spacing w:before="5"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5.Payment of Exercise Price. </w:t>
      </w:r>
      <w:r>
        <w:rPr>
          <w:rFonts w:ascii="Times New Roman;serif" w:hAnsi="Times New Roman;serif"/>
          <w:b w:val="false"/>
          <w:color w:val="000000"/>
          <w:sz w:val="20"/>
        </w:rPr>
        <w:t>You may pay the Exercise Price by cash, certified check, bank draft, wire transfer, postal or 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pStyle w:val="TextBody"/>
        <w:bidi w:val="0"/>
        <w:spacing w:before="2" w:after="283"/>
        <w:jc w:val="both"/>
        <w:rPr/>
      </w:pPr>
      <w:r>
        <w:rPr/>
      </w:r>
    </w:p>
    <w:p>
      <w:pPr>
        <w:pStyle w:val="TextBody"/>
        <w:bidi w:val="0"/>
        <w:spacing w:lineRule="auto" w:line="288" w:before="7" w:after="283"/>
        <w:ind w:left="0" w:right="0" w:hanging="504"/>
        <w:jc w:val="both"/>
        <w:rPr/>
      </w:pPr>
      <w:r>
        <w:rPr>
          <w:rFonts w:ascii="Times New Roman;serif" w:hAnsi="Times New Roman;serif"/>
          <w:b/>
          <w:color w:val="000000"/>
          <w:sz w:val="20"/>
        </w:rPr>
        <w:t xml:space="preserve">6.Exercise of Option. </w:t>
      </w:r>
      <w:r>
        <w:rPr>
          <w:rFonts w:ascii="Times New Roman;serif" w:hAnsi="Times New Roman;serif"/>
          <w:b w:val="false"/>
          <w:color w:val="000000"/>
          <w:sz w:val="20"/>
        </w:rPr>
        <w:t xml:space="preserve">Subject to the terms and conditions of this Agreement, the Option may be exercised by contacting the Solstice Stock Option Service Center, managed by Morgan Stanley, by telephone at 1-888-723-3391 or 1-801-617-7414, or on the internet at </w:t>
      </w:r>
      <w:r>
        <w:rPr>
          <w:rFonts w:ascii="Times New Roman;serif" w:hAnsi="Times New Roman;serif"/>
          <w:b w:val="false"/>
          <w:color w:val="000000"/>
          <w:sz w:val="20"/>
          <w:u w:val="single"/>
        </w:rPr>
        <w:t>www.stockplanconnect.com</w:t>
      </w:r>
      <w:r>
        <w:rPr>
          <w:rFonts w:ascii="Times New Roman;serif" w:hAnsi="Times New Roman;serif"/>
          <w:b w:val="false"/>
          <w:color w:val="000000"/>
          <w:sz w:val="20"/>
        </w:rPr>
        <w:t>.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2" w:after="283"/>
        <w:ind w:left="0" w:right="0" w:hanging="504"/>
        <w:jc w:val="both"/>
        <w:rPr/>
      </w:pPr>
      <w:r>
        <w:rPr>
          <w:rFonts w:ascii="Times New Roman;serif" w:hAnsi="Times New Roman;serif"/>
          <w:b/>
          <w:color w:val="000000"/>
          <w:sz w:val="20"/>
        </w:rPr>
        <w:t xml:space="preserve">7.Termination, Retirement, Disability or Death. </w:t>
      </w:r>
      <w:r>
        <w:rPr>
          <w:rFonts w:ascii="Times New Roman;serif" w:hAnsi="Times New Roman;serif"/>
          <w:b w:val="false"/>
          <w:color w:val="000000"/>
          <w:sz w:val="20"/>
        </w:rPr>
        <w:t>The Option will vest and remain exercisable as follows:</w:t>
      </w:r>
    </w:p>
    <w:p>
      <w:pPr>
        <w:pStyle w:val="TextBody"/>
        <w:bidi w:val="0"/>
        <w:spacing w:before="1" w:after="283"/>
        <w:jc w:val="both"/>
        <w:rPr/>
      </w:pPr>
      <w:r>
        <w:rPr/>
      </w:r>
    </w:p>
    <w:tbl>
      <w:tblPr>
        <w:tblW w:w="10205" w:type="dxa"/>
        <w:jc w:val="left"/>
        <w:tblInd w:w="0" w:type="dxa"/>
        <w:tblLayout w:type="fixed"/>
        <w:tblCellMar>
          <w:top w:w="28" w:type="dxa"/>
          <w:left w:w="28" w:type="dxa"/>
          <w:bottom w:w="28" w:type="dxa"/>
          <w:right w:w="28" w:type="dxa"/>
        </w:tblCellMar>
      </w:tblPr>
      <w:tblGrid>
        <w:gridCol w:w="1166"/>
        <w:gridCol w:w="1025"/>
        <w:gridCol w:w="1033"/>
        <w:gridCol w:w="1047"/>
        <w:gridCol w:w="1020"/>
        <w:gridCol w:w="1031"/>
        <w:gridCol w:w="1133"/>
        <w:gridCol w:w="1133"/>
        <w:gridCol w:w="1617"/>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Event</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Vesting</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Exercise</w:t>
            </w:r>
          </w:p>
        </w:tc>
      </w:tr>
      <w:tr>
        <w:trPr/>
        <w:tc>
          <w:tcPr>
            <w:tcW w:w="322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Death</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 vesting as of Termination of Employment due to death.</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Expires earlier of (i) original expiration date, or (ii) 3 years</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Termination of Employment.</w:t>
            </w:r>
          </w:p>
        </w:tc>
      </w:tr>
      <w:tr>
        <w:trPr/>
        <w:tc>
          <w:tcPr>
            <w:tcW w:w="322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Disability</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Immediate vesting as of Termination of Employment due to Disability.</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Expires earlier of (i) original expiration date, or (ii) 3 years after Termination of Employment.</w:t>
            </w:r>
          </w:p>
        </w:tc>
      </w:tr>
      <w:tr>
        <w:trPr/>
        <w:tc>
          <w:tcPr>
            <w:tcW w:w="3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Retirement (Termination of Employment because of retirement from active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 on or after age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 and 10 Years of Service)</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Unvested Awards forfeited as of Retirement.</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Expires earlier of (i) original expiration date, or (ii) 3 years after Retirement.</w:t>
            </w:r>
          </w:p>
        </w:tc>
      </w:tr>
      <w:tr>
        <w:trPr/>
        <w:tc>
          <w:tcPr>
            <w:tcW w:w="3224" w:type="dxa"/>
            <w:gridSpan w:val="3"/>
            <w:tcBorders>
              <w:top w:val="single" w:sz="4" w:space="0" w:color="000000"/>
              <w:left w:val="single" w:sz="4" w:space="0" w:color="000000"/>
            </w:tcBorders>
            <w:tcMar>
              <w:top w:w="30" w:type="dxa"/>
              <w:left w:w="74"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termination</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Unvested Awards forfeited as of Termination of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Expires earlier of (i) original expiration date, or (ii) 30</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days after Termination of Employment.</w:t>
            </w:r>
          </w:p>
        </w:tc>
      </w:tr>
      <w:tr>
        <w:trPr/>
        <w:tc>
          <w:tcPr>
            <w:tcW w:w="32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Involuntary termination not for Cause</w:t>
            </w:r>
          </w:p>
        </w:tc>
        <w:tc>
          <w:tcPr>
            <w:tcW w:w="30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Unvested Awards forfeited as of Termination of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w:t>
            </w:r>
          </w:p>
        </w:tc>
        <w:tc>
          <w:tcPr>
            <w:tcW w:w="3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Expires earlier of (i) original expiration date, or (ii) 1 year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Termination of Employment.</w:t>
            </w:r>
          </w:p>
        </w:tc>
      </w:tr>
      <w:tr>
        <w:trPr/>
        <w:tc>
          <w:tcPr>
            <w:tcW w:w="32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Involuntary termination for Cause</w:t>
            </w:r>
          </w:p>
        </w:tc>
        <w:tc>
          <w:tcPr>
            <w:tcW w:w="30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Unvested Awards forfeited as of Termination of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w:t>
            </w:r>
          </w:p>
        </w:tc>
        <w:tc>
          <w:tcPr>
            <w:tcW w:w="38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Vested Awards immediately cancelled.</w:t>
            </w:r>
          </w:p>
        </w:tc>
      </w:tr>
    </w:tbl>
    <w:p>
      <w:pPr>
        <w:pStyle w:val="TextBody"/>
        <w:bidi w:val="0"/>
        <w:spacing w:before="5"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pStyle w:val="TextBody"/>
        <w:bidi w:val="0"/>
        <w:spacing w:before="3"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8.Change in Control. </w:t>
      </w:r>
      <w:r>
        <w:rPr>
          <w:rFonts w:ascii="Times New Roman;serif" w:hAnsi="Times New Roman;serif"/>
          <w:b w:val="false"/>
          <w:color w:val="000000"/>
          <w:sz w:val="20"/>
        </w:rPr>
        <w:t>If you incur an involuntary Termination of Employment not for Cause (as defined in Section 2.7 of the Plan) or a voluntary 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pStyle w:val="TextBody"/>
        <w:bidi w:val="0"/>
        <w:spacing w:before="4" w:after="283"/>
        <w:jc w:val="both"/>
        <w:rPr/>
      </w:pPr>
      <w:r>
        <w:rPr/>
      </w:r>
    </w:p>
    <w:p>
      <w:pPr>
        <w:pStyle w:val="TextBody"/>
        <w:bidi w:val="0"/>
        <w:spacing w:lineRule="auto" w:line="288"/>
        <w:ind w:left="0" w:right="0" w:hanging="504"/>
        <w:jc w:val="both"/>
        <w:rPr/>
      </w:pPr>
      <w:r>
        <w:rPr>
          <w:rFonts w:ascii="Times New Roman;serif" w:hAnsi="Times New Roman;serif"/>
          <w:b/>
          <w:color w:val="000000"/>
          <w:sz w:val="20"/>
        </w:rPr>
        <w:t xml:space="preserve">9.Withholdings. </w:t>
      </w:r>
      <w:r>
        <w:rPr>
          <w:rFonts w:ascii="Times New Roman;serif" w:hAnsi="Times New Roman;serif"/>
          <w:b w:val="false"/>
          <w:color w:val="000000"/>
          <w:sz w:val="20"/>
        </w:rPr>
        <w:t>The Company or your local employer shall have the power and the right to deduct or withhold, or require 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3" w:after="283"/>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 xml:space="preserve">10.Transfer of Option. </w:t>
      </w:r>
      <w:r>
        <w:rPr>
          <w:rFonts w:ascii="Times New Roman;serif" w:hAnsi="Times New Roman;serif"/>
          <w:b w:val="false"/>
          <w:color w:val="000000"/>
          <w:sz w:val="20"/>
        </w:rPr>
        <w:t>You may not transfer the Option or any interest in the Option except by will or the laws of descent and distribution. Any other attempt to dispose of your interest will be null and void.</w:t>
      </w:r>
    </w:p>
    <w:p>
      <w:pPr>
        <w:pStyle w:val="TextBody"/>
        <w:bidi w:val="0"/>
        <w:spacing w:before="4" w:after="283"/>
        <w:jc w:val="both"/>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11.Requirements for and Forfeiture of Award.</w:t>
      </w:r>
    </w:p>
    <w:p>
      <w:pPr>
        <w:pStyle w:val="TextBody"/>
        <w:bidi w:val="0"/>
        <w:spacing w:before="3"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 xml:space="preserve">a.General. </w:t>
      </w:r>
      <w:r>
        <w:rPr>
          <w:rFonts w:ascii="Times New Roman;serif" w:hAnsi="Times New Roman;serif"/>
          <w:b w:val="false"/>
          <w:color w:val="000000"/>
          <w:sz w:val="20"/>
        </w:rPr>
        <w:t>The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before="6" w:after="283"/>
        <w:jc w:val="both"/>
        <w:rPr/>
      </w:pPr>
      <w:r>
        <w:rPr/>
      </w: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b.Remedies.</w:t>
      </w:r>
    </w:p>
    <w:p>
      <w:pPr>
        <w:pStyle w:val="TextBody"/>
        <w:bidi w:val="0"/>
        <w:spacing w:before="2"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You expressly agree and acknowledge that the forfeiture provisions of subsection 11.b.2. of this Agreement shall apply if (A) you are terminated for Cause (as defined in the Plan)[ or you voluntarily terminate your employment with less than a 30-day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Advanced Materials Inc.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before="3"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4"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or you voluntarily terminate your employment with less than a 30-day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for Cause[ or voluntary Termination of Employment], as applicable, and (ii) you shall immediately deliver to the Company Shares equal in value to the amount of any profit you realized upon an exercise of the Option during the period beginning twelve (12) months prior to your Termination of Employment and ending on (x) the date of the CEO’s determination in the case of a violation other than a termination for Cause[ or voluntary termination without sufficient notice], or (y) the date of your Termination of Employment in the case of a termination for Cause[ or voluntary termination without sufficient notice], as applicable.</w:t>
      </w:r>
    </w:p>
    <w:p>
      <w:pPr>
        <w:pStyle w:val="TextBody"/>
        <w:bidi w:val="0"/>
        <w:spacing w:before="3"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3.</w:t>
      </w:r>
      <w:r>
        <w:rPr>
          <w:rFonts w:ascii="Times New Roman;serif" w:hAnsi="Times New Roman;serif"/>
          <w:b w:val="false"/>
          <w:color w:val="000000"/>
          <w:sz w:val="20"/>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before="4" w:after="283"/>
        <w:jc w:val="both"/>
        <w:rPr/>
      </w:pPr>
      <w:r>
        <w:rPr/>
      </w:r>
    </w:p>
    <w:p>
      <w:pPr>
        <w:pStyle w:val="TextBody"/>
        <w:bidi w:val="0"/>
        <w:spacing w:lineRule="auto" w:line="288" w:before="1" w:after="283"/>
        <w:ind w:left="0" w:right="0" w:hanging="504"/>
        <w:jc w:val="both"/>
        <w:rPr/>
      </w:pPr>
      <w:r>
        <w:rPr>
          <w:rFonts w:ascii="Times New Roman;serif" w:hAnsi="Times New Roman;serif"/>
          <w:b/>
          <w:color w:val="000000"/>
          <w:sz w:val="20"/>
        </w:rPr>
        <w:t xml:space="preserve">12.Adjustments. </w:t>
      </w:r>
      <w:r>
        <w:rPr>
          <w:rFonts w:ascii="Times New Roman;serif" w:hAnsi="Times New Roman;serif"/>
          <w:b w:val="false"/>
          <w:color w:val="000000"/>
          <w:sz w:val="20"/>
        </w:rPr>
        <w:t>Any adjustments to the Option will be governed by Section 5.3 of the Plan.</w:t>
      </w:r>
    </w:p>
    <w:p>
      <w:pPr>
        <w:pStyle w:val="TextBody"/>
        <w:bidi w:val="0"/>
        <w:spacing w:before="2"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13.Restrictions on Exercise. </w:t>
      </w:r>
      <w:r>
        <w:rPr>
          <w:rFonts w:ascii="Times New Roman;serif" w:hAnsi="Times New Roman;serif"/>
          <w:b w:val="false"/>
          <w:color w:val="000000"/>
          <w:sz w:val="20"/>
        </w:rPr>
        <w:t>Exercise of the Option is subject to the conditions that, to the extent required at the time of exercise, (i) the Shares covered by the Option will be duly listed, upon official notice of issuance, upon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pStyle w:val="TextBody"/>
        <w:bidi w:val="0"/>
        <w:spacing w:lineRule="auto" w:line="288" w:before="82" w:after="283"/>
        <w:ind w:left="0" w:right="0" w:hanging="504"/>
        <w:jc w:val="both"/>
        <w:rPr/>
      </w:pPr>
      <w:r>
        <w:rPr>
          <w:rFonts w:ascii="Times New Roman;serif" w:hAnsi="Times New Roman;serif"/>
          <w:b/>
          <w:color w:val="000000"/>
          <w:sz w:val="20"/>
        </w:rPr>
        <w:t xml:space="preserve">14.Disposition of Securities. </w:t>
      </w:r>
      <w:r>
        <w:rPr>
          <w:rFonts w:ascii="Times New Roman;serif" w:hAnsi="Times New Roman;serif"/>
          <w:b w:val="false"/>
          <w:color w:val="000000"/>
          <w:sz w:val="20"/>
        </w:rPr>
        <w:t>By accepting the Award, you acknowledge that you have read and understand the Company’s policy, and are aware of and understand your obligations under U.S. federal securities laws in respect of trading in the Company’s securities, and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pStyle w:val="TextBody"/>
        <w:bidi w:val="0"/>
        <w:spacing w:before="3"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15.Plan Terms Govern. </w:t>
      </w:r>
      <w:r>
        <w:rPr>
          <w:rFonts w:ascii="Times New Roman;serif" w:hAnsi="Times New Roman;serif"/>
          <w:b w:val="false"/>
          <w:color w:val="000000"/>
          <w:sz w:val="20"/>
        </w:rPr>
        <w:t>The exercise of the Option, the disposition of any Shares received upon exercise of the Option, and 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pStyle w:val="TextBody"/>
        <w:bidi w:val="0"/>
        <w:spacing w:before="5"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hanging="504"/>
        <w:jc w:val="both"/>
        <w:rPr>
          <w:rFonts w:ascii="Times New Roman;serif" w:hAnsi="Times New Roman;serif"/>
          <w:b/>
          <w:color w:val="000000"/>
          <w:sz w:val="20"/>
        </w:rPr>
      </w:pPr>
      <w:r>
        <w:rPr>
          <w:rFonts w:ascii="Times New Roman;serif" w:hAnsi="Times New Roman;serif"/>
          <w:b/>
          <w:color w:val="000000"/>
          <w:sz w:val="20"/>
        </w:rPr>
        <w:t>16.Personal Data.</w:t>
      </w:r>
    </w:p>
    <w:p>
      <w:pPr>
        <w:pStyle w:val="TextBody"/>
        <w:bidi w:val="0"/>
        <w:spacing w:before="3"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pStyle w:val="TextBody"/>
        <w:bidi w:val="0"/>
        <w:spacing w:before="1"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You understand that the Company or its Affiliates, as well as the Data Recipients, are or may be located in your country of residence or elsewhere, such as the United States.</w:t>
      </w:r>
    </w:p>
    <w:p>
      <w:pPr>
        <w:pStyle w:val="TextBody"/>
        <w:bidi w:val="0"/>
        <w:spacing w:lineRule="auto" w:line="288" w:before="82" w:after="283"/>
        <w:jc w:val="both"/>
        <w:rPr>
          <w:rFonts w:ascii="Times New Roman;serif" w:hAnsi="Times New Roman;serif"/>
          <w:b w:val="false"/>
          <w:color w:val="000000"/>
          <w:sz w:val="20"/>
        </w:rPr>
      </w:pPr>
      <w:r>
        <w:rPr>
          <w:rFonts w:ascii="Times New Roman;serif" w:hAnsi="Times New Roman;serif"/>
          <w:b w:val="false"/>
          <w:color w:val="000000"/>
          <w:sz w:val="20"/>
        </w:rPr>
        <w:t>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before="0" w:after="0"/>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17.Discretionary Nature and Acceptance of Award. </w:t>
      </w:r>
      <w:r>
        <w:rPr>
          <w:rFonts w:ascii="Times New Roman;serif" w:hAnsi="Times New Roman;serif"/>
          <w:b w:val="false"/>
          <w:color w:val="000000"/>
          <w:sz w:val="20"/>
        </w:rPr>
        <w:t>By accepting this Award, you agree to be bound by the terms of this Agreement and acknowledge that:</w:t>
      </w:r>
    </w:p>
    <w:p>
      <w:pPr>
        <w:pStyle w:val="TextBody"/>
        <w:bidi w:val="0"/>
        <w:spacing w:before="3"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The Company (and not your local employer) is granting your Option. Furthermore, this Agreement is not derived from any preexisting labor relationship between you and the Company, but rather from a mercantile relationship.</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The Company may administer the Plan from outside your country of residence and United States law will govern all options granted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 w:after="283"/>
        <w:jc w:val="both"/>
        <w:rPr/>
      </w:pPr>
      <w:r>
        <w:rPr/>
      </w:r>
    </w:p>
    <w:p>
      <w:pPr>
        <w:pStyle w:val="TextBody"/>
        <w:bidi w:val="0"/>
        <w:spacing w:lineRule="auto" w:line="288" w:before="1" w:after="283"/>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Benefits and rights provided under the Plan are wholly discretionary and, although provided by the Company, do not constitute regular or periodic payments.</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before="1"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 xml:space="preserve">The Plan will not be deemed to constitute, and will not be construed by you to constitute, part of the terms and conditions of employment. Neither the Company nor </w:t>
      </w:r>
    </w:p>
    <w:p>
      <w:pPr>
        <w:pStyle w:val="TextBody"/>
        <w:bidi w:val="0"/>
        <w:spacing w:lineRule="auto" w:line="288" w:before="82" w:after="283"/>
        <w:jc w:val="both"/>
        <w:rPr>
          <w:rFonts w:ascii="Times New Roman;serif" w:hAnsi="Times New Roman;serif"/>
          <w:b w:val="false"/>
          <w:color w:val="000000"/>
          <w:sz w:val="20"/>
        </w:rPr>
      </w:pPr>
      <w:r>
        <w:rPr>
          <w:rFonts w:ascii="Times New Roman;serif" w:hAnsi="Times New Roman;serif"/>
          <w:b w:val="false"/>
          <w:color w:val="000000"/>
          <w:sz w:val="20"/>
        </w:rPr>
        <w:t>your local employer will incur any liability of any kind to you as a result of any change or amendment, or any cancellation, of the Plan at any time.</w:t>
      </w:r>
    </w:p>
    <w:p>
      <w:pPr>
        <w:pStyle w:val="TextBody"/>
        <w:bidi w:val="0"/>
        <w:spacing w:before="10" w:after="283"/>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Participation in the Plan will not be deemed to constitute, and will not be deemed by you to constitute, an employment or labor relationship of any kind with the Company.</w:t>
      </w:r>
    </w:p>
    <w:p>
      <w:pPr>
        <w:pStyle w:val="TextBody"/>
        <w:bidi w:val="0"/>
        <w:spacing w:before="3"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18.Limitations. </w:t>
      </w:r>
      <w:r>
        <w:rPr>
          <w:rFonts w:ascii="Times New Roman;serif" w:hAnsi="Times New Roman;serif"/>
          <w:b w:val="false"/>
          <w:color w:val="000000"/>
          <w:sz w:val="20"/>
        </w:rPr>
        <w:t>Nothing in this Agreement or the Plan gives you any right to continue in the employ of the Company or any of 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pStyle w:val="TextBody"/>
        <w:bidi w:val="0"/>
        <w:spacing w:before="5"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19.Incorporation of Other Agreements. </w:t>
      </w:r>
      <w:r>
        <w:rPr>
          <w:rFonts w:ascii="Times New Roman;serif" w:hAnsi="Times New Roman;serif"/>
          <w:b w:val="false"/>
          <w:color w:val="000000"/>
          <w:sz w:val="20"/>
        </w:rPr>
        <w:t>This Agreement and the Plan constitute the entire understanding between you and the Company regarding the Option. This Agreement supersedes any prior agreements, commitments or negotiations concerning the Option.</w:t>
      </w:r>
    </w:p>
    <w:p>
      <w:pPr>
        <w:pStyle w:val="TextBody"/>
        <w:bidi w:val="0"/>
        <w:spacing w:before="3"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20.Severability. </w:t>
      </w:r>
      <w:r>
        <w:rPr>
          <w:rFonts w:ascii="Times New Roman;serif" w:hAnsi="Times New Roman;serif"/>
          <w:b w:val="false"/>
          <w:color w:val="000000"/>
          <w:sz w:val="20"/>
        </w:rPr>
        <w:t>The invalidity or unenforceability of any provision of this Agreement will not affect the validity or 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pStyle w:val="TextBody"/>
        <w:bidi w:val="0"/>
        <w:spacing w:before="5" w:after="283"/>
        <w:jc w:val="both"/>
        <w:rPr/>
      </w:pPr>
      <w:r>
        <w:rPr/>
      </w:r>
    </w:p>
    <w:p>
      <w:pPr>
        <w:pStyle w:val="TextBody"/>
        <w:bidi w:val="0"/>
        <w:spacing w:lineRule="auto" w:line="288" w:before="0" w:after="0"/>
        <w:ind w:left="0" w:right="0" w:hanging="504"/>
        <w:jc w:val="both"/>
        <w:rPr/>
      </w:pPr>
      <w:r>
        <w:rPr>
          <w:rFonts w:ascii="Times New Roman;serif" w:hAnsi="Times New Roman;serif"/>
          <w:b/>
          <w:color w:val="000000"/>
          <w:sz w:val="20"/>
        </w:rPr>
        <w:t xml:space="preserve">21.Governing Law. </w:t>
      </w:r>
      <w:r>
        <w:rPr>
          <w:rFonts w:ascii="Times New Roman;serif" w:hAnsi="Times New Roman;serif"/>
          <w:b w:val="false"/>
          <w:color w:val="000000"/>
          <w:sz w:val="20"/>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before="3"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 w:after="283"/>
        <w:ind w:left="0" w:right="0" w:hanging="504"/>
        <w:jc w:val="both"/>
        <w:rPr/>
      </w:pPr>
      <w:r>
        <w:rPr>
          <w:rFonts w:ascii="Times New Roman;serif" w:hAnsi="Times New Roman;serif"/>
          <w:b/>
          <w:color w:val="000000"/>
          <w:sz w:val="20"/>
        </w:rPr>
        <w:t xml:space="preserve">22.Acknowledgements and Acceptance. </w:t>
      </w:r>
      <w:r>
        <w:rPr>
          <w:rFonts w:ascii="Times New Roman;serif" w:hAnsi="Times New Roman;serif"/>
          <w:b w:val="false"/>
          <w:color w:val="000000"/>
          <w:sz w:val="20"/>
        </w:rPr>
        <w:t>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pStyle w:val="TextBody"/>
        <w:bidi w:val="0"/>
        <w:spacing w:before="4" w:after="283"/>
        <w:jc w:val="both"/>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To retain this Award, you must accept it on the Morgan Stanley At Work website.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2025 STOCK INCENTIVE PLAN</w:t>
        <w:br/>
        <w:t>OF SOLSTICE ADVANCED MATERIALS INC. AND ITS AFFILIATES</w:t>
      </w:r>
    </w:p>
    <w:p>
      <w:pPr>
        <w:pStyle w:val="TextBody"/>
        <w:bidi w:val="0"/>
        <w:spacing w:lineRule="auto" w:line="288" w:before="120" w:after="240"/>
        <w:jc w:val="center"/>
        <w:rPr>
          <w:rFonts w:ascii="Times New Roman;serif" w:hAnsi="Times New Roman;serif"/>
          <w:b/>
          <w:color w:val="000000"/>
          <w:sz w:val="20"/>
        </w:rPr>
      </w:pPr>
      <w:r>
        <w:rPr>
          <w:rFonts w:ascii="Times New Roman;serif" w:hAnsi="Times New Roman;serif"/>
          <w:b/>
          <w:color w:val="000000"/>
          <w:sz w:val="20"/>
        </w:rPr>
        <w:t>[___] – [___] PERFORMANCE PLAN GRANT AGREEMENT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PERFORMANCE PLAN GRANT AGREEMENT made in Morris Plains, New Jersey, United States of America, as of ###GRANT_DATE### (“Grant Date”), between Solstice Advanced Materials Inc. (the “Company”) and ###PARTICIPANT_NAME### (“Participant”).</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1.Grant of Award. </w:t>
      </w:r>
      <w:r>
        <w:rPr>
          <w:rFonts w:ascii="Times New Roman;serif" w:hAnsi="Times New Roman;serif"/>
          <w:b w:val="false"/>
          <w:color w:val="000000"/>
          <w:sz w:val="20"/>
        </w:rPr>
        <w:t>The Company has granted you ###TOTAL_AWARDS### Performance Units, subject to the terms of this Agreement and the 2025 Stock Incentive Plan of Solstice Advanced Materials Inc. and Its Affiliates (the “Plan”).</w:t>
      </w:r>
    </w:p>
    <w:p>
      <w:pPr>
        <w:pStyle w:val="TextBody"/>
        <w:bidi w:val="0"/>
        <w:spacing w:lineRule="auto" w:line="288" w:before="0" w:after="240"/>
        <w:jc w:val="both"/>
        <w:rPr/>
      </w:pPr>
      <w:r>
        <w:rPr>
          <w:rFonts w:ascii="Times New Roman;serif" w:hAnsi="Times New Roman;serif"/>
          <w:b w:val="false"/>
          <w:color w:val="000000"/>
          <w:sz w:val="20"/>
        </w:rPr>
        <w:t xml:space="preserve">The details for this grant can be found on the Morgan Stanley At Work website at </w:t>
      </w:r>
      <w:r>
        <w:rPr>
          <w:rFonts w:ascii="Times New Roman;serif" w:hAnsi="Times New Roman;serif"/>
          <w:b w:val="false"/>
          <w:color w:val="000000"/>
          <w:sz w:val="20"/>
          <w:u w:val="single"/>
        </w:rPr>
        <w:t>www.stockplanconnect.com</w:t>
      </w:r>
      <w:r>
        <w:rPr>
          <w:rFonts w:ascii="Times New Roman;serif" w:hAnsi="Times New Roman;serif"/>
          <w:b w:val="false"/>
          <w:color w:val="000000"/>
          <w:sz w:val="20"/>
        </w:rPr>
        <w:t xml:space="preserve">. The Company reserves the right to change or correct any information contained on the Morgan Stanley At Work website to reflect the terms of the Award actually made by the Company on the Grant Date or the Plan.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2.Target and Actual Award. </w:t>
      </w:r>
      <w:r>
        <w:rPr>
          <w:rFonts w:ascii="Times New Roman;serif" w:hAnsi="Times New Roman;serif"/>
          <w:b w:val="false"/>
          <w:color w:val="000000"/>
          <w:sz w:val="20"/>
        </w:rPr>
        <w:t>The number of Performance Units awarded to you represents a target award for the applicable Performance Cycle (as defined below). Each Performance Unit has a target value of $100 (“Target Value”). Your actual award value (the “Actual Award”) is equal to the product of (i) the Target Value, (ii) the Plan Payout Percentage, and (iii) the number of Performance Units awarded to you under this Agreement. For purposes of this Agreement, the “Plan Payout Percentage” shall be based on the achievement of the Performance Measures described in Section 3 below and may range from zero to a maximum of 200%.</w:t>
      </w:r>
    </w:p>
    <w:p>
      <w:pPr>
        <w:pStyle w:val="TextBody"/>
        <w:bidi w:val="0"/>
        <w:spacing w:lineRule="auto" w:line="288" w:before="0" w:after="240"/>
        <w:ind w:left="0" w:right="0" w:hanging="360"/>
        <w:jc w:val="both"/>
        <w:rPr/>
      </w:pPr>
      <w:r>
        <w:rPr>
          <w:rFonts w:ascii="Times New Roman;serif" w:hAnsi="Times New Roman;serif"/>
          <w:b/>
          <w:color w:val="000000"/>
          <w:sz w:val="20"/>
        </w:rPr>
        <w:t>3.Performance Measures.</w:t>
      </w:r>
      <w:r>
        <w:rPr>
          <w:color w:val="000000"/>
        </w:rPr>
        <w:t xml:space="preserve"> </w:t>
      </w:r>
      <w:r>
        <w:rPr>
          <w:rFonts w:ascii="Times New Roman;serif" w:hAnsi="Times New Roman;serif"/>
          <w:b w:val="false"/>
          <w:color w:val="000000"/>
          <w:sz w:val="20"/>
        </w:rPr>
        <w:t>The Plan Payout Percentage shall be determined based on actual performance against pre-set goals of (a) total cumulative revenue, (b) average return on investment, and (c) average segment margin rate (collectively the “Performance Measures”) for the Performance Cycle, with each Performance Measure equally weighted. Performance Measures shall be determined at the Company level (“Corporate”) for eligible employees not assigned to one of the Company’s strategic business groups or the [___] business unit (collectively, an “SBG”), and 50% at the Company level and 50% at the SBG level for other eligible employees; provided, however, that the average return on investment Performance Measure for eligible employees assigned to the [___] business unit shall be determined 100% at the Company level. For purposes of this determination, if you transfer from one of the Company’s business units (</w:t>
      </w:r>
      <w:r>
        <w:rPr>
          <w:rFonts w:ascii="Times New Roman;serif" w:hAnsi="Times New Roman;serif"/>
          <w:b w:val="false"/>
          <w:color w:val="000000"/>
          <w:sz w:val="20"/>
          <w:u w:val="single"/>
        </w:rPr>
        <w:t>i.e.</w:t>
      </w:r>
      <w:r>
        <w:rPr>
          <w:rFonts w:ascii="Times New Roman;serif" w:hAnsi="Times New Roman;serif"/>
          <w:b w:val="false"/>
          <w:color w:val="000000"/>
          <w:sz w:val="20"/>
        </w:rPr>
        <w:t>, an SBG or Corporate) to another during the Performance Cycle, your Actual Award will be prorated for the number of days from your first eligibility date that you were actively employed in each business unit during the Performance Cycle.</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4.Performance Cycle. </w:t>
      </w:r>
      <w:r>
        <w:rPr>
          <w:rFonts w:ascii="Times New Roman;serif" w:hAnsi="Times New Roman;serif"/>
          <w:b w:val="false"/>
          <w:color w:val="000000"/>
          <w:sz w:val="20"/>
        </w:rPr>
        <w:t>The three year Performance Cycle to which this Agreement applies begins on January 1, [__] and ends on December 31, [__] (the “Performance Cycle”).</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5.Timing of Payments. </w:t>
      </w:r>
      <w:r>
        <w:rPr>
          <w:rFonts w:ascii="Times New Roman;serif" w:hAnsi="Times New Roman;serif"/>
          <w:b w:val="false"/>
          <w:color w:val="000000"/>
          <w:sz w:val="20"/>
        </w:rPr>
        <w:t>The payment of the Actual Award is contingent upon (i) the achievement level for the Performance Measures outlined in Section 3 above, and (ii) except as otherwise provided in this Agreement, you remaining actively employed by the Company on the payment date. Thus, for example, if you are receiving pay from the Company but not actively performing services on the payment date (including, but not limited to, severance periods, notice periods, and grandfathered vacation periods), you will not be considered “active” for purposes of payment of the Actual Award.</w:t>
      </w:r>
    </w:p>
    <w:p>
      <w:pPr>
        <w:pStyle w:val="TextBody"/>
        <w:bidi w:val="0"/>
        <w:spacing w:lineRule="auto" w:line="288" w:before="0" w:after="240"/>
        <w:jc w:val="both"/>
        <w:rPr/>
      </w:pPr>
      <w:r>
        <w:rPr>
          <w:rFonts w:ascii="Times New Roman;serif" w:hAnsi="Times New Roman;serif"/>
          <w:b w:val="false"/>
          <w:color w:val="000000"/>
          <w:sz w:val="20"/>
        </w:rPr>
        <w:t>If an Actual Award is earned, you will receive the resulting payout no later than the end of the first calendar quarter of the year following the end of the Performance Cycle, and in no event later than March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if you are paid from U.S. payroll (subject, of course, to the active employment criteria described herein).</w:t>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44"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6.Form of Payment. </w:t>
      </w:r>
      <w:r>
        <w:rPr>
          <w:rFonts w:ascii="Times New Roman;serif" w:hAnsi="Times New Roman;serif"/>
          <w:b w:val="false"/>
          <w:color w:val="000000"/>
          <w:sz w:val="20"/>
        </w:rPr>
        <w:t>The Actual Award shall be paid in a single lump sum, either in cash or shares of the Company’s common stock (“Shares”), at the discretion of the Committee. Your Actual Award shall be expressed in U.S. dollars. Cash payment shall be made in the same currency as your pay (“Local Currency”). If you receive pay in more than one Local Currency, the currency used for payment will be at the discretion of the Company or your employer. The Company will convert your Actual Award from U.S. dollars to your Local Currency using the exchange rate in effect for the compensation planning cycle in the year of payment (i.e., the same rate used for converting annual bonuses to local currency in the first quarter of the year of payment). If your Actual Award is paid in Shares, the number of Shares shall be determined by dividing the Actual Award by the Fair Market Value (as defined in the Plan) of the Shares on the last day of the Performance Cycle. Fractional Shares will be paid in cash. No payments will be credited with interest, and you may not defer any portion of the Actual Award.</w:t>
      </w:r>
    </w:p>
    <w:p>
      <w:pPr>
        <w:pStyle w:val="TextBody"/>
        <w:bidi w:val="0"/>
        <w:spacing w:lineRule="auto" w:line="288" w:before="0" w:after="240"/>
        <w:ind w:left="0" w:right="0" w:hanging="360"/>
        <w:jc w:val="both"/>
        <w:rPr/>
      </w:pPr>
      <w:r>
        <w:rPr>
          <w:rFonts w:ascii="Times New Roman;serif" w:hAnsi="Times New Roman;serif"/>
          <w:b/>
          <w:color w:val="000000"/>
          <w:sz w:val="20"/>
        </w:rPr>
        <w:t>7.Termination of Employment.</w:t>
      </w:r>
      <w:r>
        <w:rPr>
          <w:color w:val="000000"/>
        </w:rPr>
        <w:t xml:space="preserve"> </w:t>
      </w:r>
      <w:r>
        <w:rPr>
          <w:rFonts w:ascii="Times New Roman;serif" w:hAnsi="Times New Roman;serif"/>
          <w:b w:val="false"/>
          <w:color w:val="000000"/>
          <w:sz w:val="20"/>
        </w:rPr>
        <w:t>If your Termination of Employment occurs for any reason other than death or Disability (as defined in the Plan) before the payment date described in Section 5, the Performance Units shall be forfeited and your rights with respect to future payments under this Agreement shall end.</w:t>
      </w:r>
    </w:p>
    <w:p>
      <w:pPr>
        <w:pStyle w:val="TextBody"/>
        <w:bidi w:val="0"/>
        <w:spacing w:lineRule="auto" w:line="288" w:before="0" w:after="240"/>
        <w:ind w:left="0" w:right="0" w:hanging="360"/>
        <w:jc w:val="both"/>
        <w:rPr/>
      </w:pPr>
      <w:r>
        <w:rPr>
          <w:rFonts w:ascii="Times New Roman;serif" w:hAnsi="Times New Roman;serif"/>
          <w:b/>
          <w:color w:val="000000"/>
          <w:sz w:val="20"/>
        </w:rPr>
        <w:t>8.Death or Disability.</w:t>
      </w:r>
      <w:r>
        <w:rPr>
          <w:color w:val="000000"/>
        </w:rPr>
        <w:t xml:space="preserve"> </w:t>
      </w:r>
      <w:r>
        <w:rPr>
          <w:rFonts w:ascii="Times New Roman;serif" w:hAnsi="Times New Roman;serif"/>
          <w:b w:val="false"/>
          <w:color w:val="000000"/>
          <w:sz w:val="20"/>
        </w:rPr>
        <w:t>If your Termination of Employment occurs because of death or Disability (as defined in the Plan) before the payment date described in Section 5, you or your estate will receive the prorated value of your Actual Award. The prorated value of the Actual Award shall be determined by multiplying the Actual Award by a fraction, the numerator of which is the number of days from your first eligibility date during the Performance Cycle that you were actively employed by the Company during the Performance Cycle prior to your Termination of Employment due to death or Disability, and the denominator of which is the total number of days from your first eligibility date during the Performance Cycle through the last day of the Performance Cycle. Such prorated Actual Award shall be paid in a single lump sum at the same time payments are made to other Performance Unit grantees for the Performance Cycle.</w:t>
      </w:r>
    </w:p>
    <w:p>
      <w:pPr>
        <w:pStyle w:val="TextBody"/>
        <w:bidi w:val="0"/>
        <w:spacing w:lineRule="auto" w:line="288" w:before="0" w:after="240"/>
        <w:ind w:left="0" w:right="0" w:hanging="360"/>
        <w:jc w:val="both"/>
        <w:rPr/>
      </w:pPr>
      <w:r>
        <w:rPr>
          <w:rFonts w:ascii="Times New Roman;serif" w:hAnsi="Times New Roman;serif"/>
          <w:b/>
          <w:color w:val="000000"/>
          <w:sz w:val="20"/>
        </w:rPr>
        <w:t>9.Change in Control.</w:t>
      </w:r>
      <w:r>
        <w:rPr>
          <w:color w:val="000000"/>
        </w:rPr>
        <w:t xml:space="preserve"> </w:t>
      </w:r>
      <w:r>
        <w:rPr>
          <w:rFonts w:ascii="Times New Roman;serif" w:hAnsi="Times New Roman;serif"/>
          <w:b w:val="false"/>
          <w:color w:val="000000"/>
          <w:sz w:val="20"/>
        </w:rPr>
        <w:t>Notwithstanding anything in Sections 2 through 8 to the contrary, in the event of a Change in Control (as defined in the Plan), the following provisions apply:</w:t>
      </w:r>
    </w:p>
    <w:p>
      <w:pPr>
        <w:pStyle w:val="TextBody"/>
        <w:bidi w:val="0"/>
        <w:spacing w:lineRule="auto" w:line="288" w:before="0" w:after="240"/>
        <w:ind w:left="0" w:right="0" w:hanging="360"/>
        <w:jc w:val="both"/>
        <w:rPr/>
      </w:pPr>
      <w:r>
        <w:rPr>
          <w:rFonts w:ascii="Times New Roman;serif" w:hAnsi="Times New Roman;serif"/>
          <w:b/>
          <w:color w:val="000000"/>
          <w:sz w:val="20"/>
        </w:rPr>
        <w:t>a.Rollover of Performance Units.</w:t>
      </w:r>
      <w:r>
        <w:rPr>
          <w:color w:val="000000"/>
        </w:rPr>
        <w:t xml:space="preserve"> </w:t>
      </w:r>
      <w:r>
        <w:rPr>
          <w:rFonts w:ascii="Times New Roman;serif" w:hAnsi="Times New Roman;serif"/>
          <w:b w:val="false"/>
          <w:color w:val="000000"/>
          <w:sz w:val="20"/>
        </w:rPr>
        <w:t>If your Performance Units are adjusted or exchanged pursuant to Section 5.3 of the Plan (concerning rollover of outstanding awards in certain circumstances), the Performance Units that have not vested or terminated as of the date of the Change in Control will continue to vest in accordance with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and be paid (in cash or Shares, as determined by the Committee) no later than the earlier of 90 days after the Termination of Employment or two and one-half months after the end of the calendar year in which the Termination of Employment occurs, and (y) if you incur an involuntary Termination of Employment not for Cause (as defined in Section 2.7 of the Plan) or a voluntary Termination of Employment for Good Reason (as defined in Section 5.4(d) of the Plan) on or before the second anniversary of the date of the Change in Control and before the Performance Cycle has ended, an amount equal to the Target Value, pro rated to reflect the portion of the full Performance Cycle that elapsed before such Termination of Employment, will be paid (in cash or Shares, as determined by the Committee) no later than the earlier of 90 days after the Termination of Employment or two and one-half months after the end of the calendar year in which the Termination of Employment occurs.</w:t>
      </w:r>
    </w:p>
    <w:p>
      <w:pPr>
        <w:pStyle w:val="TextBody"/>
        <w:bidi w:val="0"/>
        <w:spacing w:lineRule="auto" w:line="288" w:before="0" w:after="240"/>
        <w:ind w:left="0" w:right="0" w:hanging="360"/>
        <w:jc w:val="both"/>
        <w:rPr/>
      </w:pPr>
      <w:r>
        <w:rPr>
          <w:rFonts w:ascii="Times New Roman;serif" w:hAnsi="Times New Roman;serif"/>
          <w:b/>
          <w:color w:val="000000"/>
          <w:sz w:val="20"/>
        </w:rPr>
        <w:t>b.Cashout of Performance Units.</w:t>
      </w:r>
      <w:r>
        <w:rPr>
          <w:color w:val="000000"/>
        </w:rPr>
        <w:t xml:space="preserve"> </w:t>
      </w:r>
      <w:r>
        <w:rPr>
          <w:rFonts w:ascii="Times New Roman;serif" w:hAnsi="Times New Roman;serif"/>
          <w:b w:val="false"/>
          <w:color w:val="000000"/>
          <w:sz w:val="20"/>
        </w:rPr>
        <w:t xml:space="preserve">Unless adjusted or exchanged pursuant to Section 5.3 of the Plan, an amount equal to the Actual Award, determined based on achievement of the Performance Measures through the date of the Change in Control (as determined by the Committee prior to the Change in Control), and pro-rated to reflect the portion of the Performance Cycle that elapsed prior to the Change in Control, will be paid (in cash or Shares, as determined by the Committee) no later than the earlier of </w:t>
      </w: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1155"/>
                <wp:effectExtent l="0" t="0" r="0" b="0"/>
                <wp:wrapNone/>
                <wp:docPr id="145"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90 days after your Termination of Employment (if applicable) or two and one-half months after the end of the calendar year in which the Change in Control occurs.</w:t>
      </w:r>
    </w:p>
    <w:p>
      <w:pPr>
        <w:pStyle w:val="TextBody"/>
        <w:bidi w:val="0"/>
        <w:spacing w:lineRule="auto" w:line="288" w:before="0" w:after="240"/>
        <w:ind w:left="0" w:right="0" w:hanging="360"/>
        <w:jc w:val="both"/>
        <w:rPr/>
      </w:pPr>
      <w:r>
        <w:rPr>
          <w:rFonts w:ascii="Times New Roman;serif" w:hAnsi="Times New Roman;serif"/>
          <w:b/>
          <w:color w:val="000000"/>
          <w:sz w:val="20"/>
        </w:rPr>
        <w:t>10.Change in Status.</w:t>
      </w:r>
      <w:r>
        <w:rPr>
          <w:color w:val="000000"/>
        </w:rPr>
        <w:t xml:space="preserve"> </w:t>
      </w:r>
      <w:r>
        <w:rPr>
          <w:rFonts w:ascii="Times New Roman;serif" w:hAnsi="Times New Roman;serif"/>
          <w:b w:val="false"/>
          <w:color w:val="000000"/>
          <w:sz w:val="20"/>
        </w:rPr>
        <w:t>If your role within the Company changes during the Performance Cycle such that you would no longer be eligible to receive Performance Units, this Agreement shall remain in full force and effect as if no such change had occurred.</w:t>
      </w:r>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11.Requirements for and Forfeiture of Award.</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a.General. </w:t>
      </w:r>
      <w:r>
        <w:rPr>
          <w:rFonts w:ascii="Times New Roman;serif" w:hAnsi="Times New Roman;serif"/>
          <w:b w:val="false"/>
          <w:color w:val="000000"/>
          <w:sz w:val="20"/>
        </w:rPr>
        <w:t>This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b.Remedies.</w:t>
      </w:r>
    </w:p>
    <w:p>
      <w:pPr>
        <w:pStyle w:val="TextBody"/>
        <w:bidi w:val="0"/>
        <w:spacing w:lineRule="auto" w:line="288" w:before="0" w:after="240"/>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You expressly agree and acknowledge that the forfeiture provisions of subsection 11.b.2. of this Agreement shall apply if (A) you are terminated for Cause (as defined in the Plan) or you voluntarily terminate your employment with less than a 30-day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Advanced Materials Inc.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1155"/>
                <wp:effectExtent l="0" t="0" r="0" b="0"/>
                <wp:wrapNone/>
                <wp:docPr id="146"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their sole judgment, that you have violated the terms of any such agreement or you have engaged in an act that violates subsection 11.b.1. of this Agreement, or you are terminated for Cause (as defined in the Plan), (i) any payment that has not yet been vested, earned or paid under this Agreement shall immediately be cancelled, and you shall forfeit any rights you have with respect to such payment as of the date of the CEO’s determination or the date of your Termination of Employment for Cause or voluntary Termination of Employment, as applicable, and (ii) you shall immediately deliver to the Company cash equal in value to the gross Actual Award you received under this Agreement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for Cause or voluntary termination without sufficient notice, as applicable.</w:t>
      </w:r>
    </w:p>
    <w:p>
      <w:pPr>
        <w:pStyle w:val="TextBody"/>
        <w:bidi w:val="0"/>
        <w:spacing w:lineRule="auto" w:line="288" w:before="0" w:after="240"/>
        <w:ind w:left="0" w:right="0" w:hanging="360"/>
        <w:jc w:val="both"/>
        <w:rPr/>
      </w:pPr>
      <w:r>
        <w:rPr>
          <w:rFonts w:ascii="Times New Roman;serif" w:hAnsi="Times New Roman;serif"/>
          <w:b/>
          <w:color w:val="000000"/>
          <w:sz w:val="20"/>
        </w:rPr>
        <w:t>3.</w:t>
      </w:r>
      <w:r>
        <w:rPr>
          <w:rFonts w:ascii="Times New Roman;serif" w:hAnsi="Times New Roman;serif"/>
          <w:b w:val="false"/>
          <w:color w:val="000000"/>
          <w:sz w:val="20"/>
        </w:rPr>
        <w:t xml:space="preserve">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 </w:t>
      </w:r>
    </w:p>
    <w:p>
      <w:pPr>
        <w:pStyle w:val="TextBody"/>
        <w:bidi w:val="0"/>
        <w:spacing w:lineRule="auto" w:line="288" w:before="0" w:after="240"/>
        <w:ind w:left="0" w:right="0" w:hanging="360"/>
        <w:jc w:val="both"/>
        <w:rPr/>
      </w:pPr>
      <w:r>
        <w:rPr>
          <w:rFonts w:ascii="Times New Roman;serif" w:hAnsi="Times New Roman;serif"/>
          <w:b/>
          <w:color w:val="000000"/>
          <w:sz w:val="20"/>
        </w:rPr>
        <w:t>12.Withholdings.</w:t>
      </w:r>
      <w:r>
        <w:rPr>
          <w:color w:val="000000"/>
        </w:rPr>
        <w:t xml:space="preserve"> </w:t>
      </w:r>
      <w:r>
        <w:rPr>
          <w:rFonts w:ascii="Times New Roman;serif" w:hAnsi="Times New Roman;serif"/>
          <w:b w:val="false"/>
          <w:color w:val="000000"/>
          <w:sz w:val="20"/>
        </w:rPr>
        <w:t>The Company or your local employer shall have the power and the right to deduct or withhold, or require you to remit to the Company or to your local employer, prior to any issuance or delivery of a payment or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pStyle w:val="TextBody"/>
        <w:bidi w:val="0"/>
        <w:spacing w:lineRule="auto" w:line="288" w:before="0" w:after="240"/>
        <w:ind w:left="0" w:right="0" w:hanging="360"/>
        <w:jc w:val="both"/>
        <w:rPr/>
      </w:pPr>
      <w:r>
        <w:rPr>
          <w:rFonts w:ascii="Times New Roman;serif" w:hAnsi="Times New Roman;serif"/>
          <w:b/>
          <w:color w:val="000000"/>
          <w:sz w:val="20"/>
        </w:rPr>
        <w:t>13.Adjustments.</w:t>
      </w:r>
      <w:r>
        <w:rPr>
          <w:color w:val="000000"/>
        </w:rPr>
        <w:t xml:space="preserve"> </w:t>
      </w:r>
      <w:r>
        <w:rPr>
          <w:rFonts w:ascii="Times New Roman;serif" w:hAnsi="Times New Roman;serif"/>
          <w:b w:val="false"/>
          <w:color w:val="000000"/>
          <w:sz w:val="20"/>
        </w:rPr>
        <w:t>Any adjustments to the Performance Units will be governed by Section 5.3 of the Plan.</w:t>
      </w:r>
    </w:p>
    <w:p>
      <w:pPr>
        <w:pStyle w:val="TextBody"/>
        <w:bidi w:val="0"/>
        <w:spacing w:lineRule="auto" w:line="288" w:before="0" w:after="240"/>
        <w:ind w:left="0" w:right="0" w:hanging="360"/>
        <w:jc w:val="both"/>
        <w:rPr/>
      </w:pPr>
      <w:r>
        <w:rPr>
          <w:rFonts w:ascii="Times New Roman;serif" w:hAnsi="Times New Roman;serif"/>
          <w:b/>
          <w:color w:val="000000"/>
          <w:sz w:val="20"/>
        </w:rPr>
        <w:t>14.Transfer of Awards.</w:t>
      </w:r>
      <w:r>
        <w:rPr>
          <w:color w:val="000000"/>
        </w:rPr>
        <w:t xml:space="preserve"> </w:t>
      </w:r>
      <w:r>
        <w:rPr>
          <w:rFonts w:ascii="Times New Roman;serif" w:hAnsi="Times New Roman;serif"/>
          <w:b w:val="false"/>
          <w:color w:val="000000"/>
          <w:sz w:val="20"/>
        </w:rPr>
        <w:t>You may not transfer any interest in your Performance Units or Actual Award. Any attempt to dispose of your interest in your Performance Units or Actual Award shall be null and void.</w:t>
      </w:r>
    </w:p>
    <w:p>
      <w:pPr>
        <w:pStyle w:val="TextBody"/>
        <w:bidi w:val="0"/>
        <w:spacing w:lineRule="auto" w:line="288" w:before="0" w:after="0"/>
        <w:ind w:left="0" w:right="0" w:hanging="360"/>
        <w:jc w:val="both"/>
        <w:rPr/>
      </w:pPr>
      <w:r>
        <w:rPr>
          <w:rFonts w:ascii="Times New Roman;serif" w:hAnsi="Times New Roman;serif"/>
          <w:b/>
          <w:color w:val="000000"/>
          <w:sz w:val="20"/>
        </w:rPr>
        <w:t>15.Plan Terms Govern.</w:t>
      </w:r>
      <w:r>
        <w:rPr>
          <w:color w:val="000000"/>
        </w:rPr>
        <w:t xml:space="preserve"> </w:t>
      </w:r>
      <w:r>
        <w:rPr>
          <w:rFonts w:ascii="Times New Roman;serif" w:hAnsi="Times New Roman;serif"/>
          <w:b w:val="false"/>
          <w:color w:val="000000"/>
          <w:sz w:val="20"/>
        </w:rPr>
        <w:t xml:space="preserve">The vesting of and payment for Performance Units, the disposition of any Shares received for Performance Units, and the treatment of gain on the disposition of any such Shares,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shall be final, binding and conclusive on you in accordance with Article III of the Plan. </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0"/>
        </w:rPr>
        <w:t>16.Personal Data.</w:t>
      </w:r>
      <w:r>
        <w:rPr>
          <w:color w:val="000000"/>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a.By entering into this Agreement, and as a condition of the grant of the Performance Units, you expressly consent to the collection, use, and transfer of personal data as described in this Section to the full extent permitted by and in full compliance with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1155"/>
                <wp:effectExtent l="0" t="0" r="0" b="0"/>
                <wp:wrapNone/>
                <wp:docPr id="147"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Units or other entitlement to shares or cash awarded, canceled, exercised, vested, unvested, or outstanding in your favor, for the purpose of managing and administering the Plan (“Data”).</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c.You understand that part or all of your Data may be also held by the Company or its Affiliates pursuant to a transfer made in the past with your consent in respect of any previous grant of Performance Units or awards, which was made for the same purposes of managing and administering of previous award/incentive plans, or for other purposes.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pStyle w:val="TextBody"/>
        <w:bidi w:val="0"/>
        <w:spacing w:lineRule="auto" w:line="288" w:before="0" w:after="240"/>
        <w:ind w:left="0" w:right="0" w:hanging="360"/>
        <w:jc w:val="both"/>
        <w:rPr/>
      </w:pPr>
      <w:r>
        <w:rPr>
          <w:rFonts w:ascii="Times New Roman;serif" w:hAnsi="Times New Roman;serif"/>
          <w:b/>
          <w:color w:val="000000"/>
          <w:sz w:val="20"/>
        </w:rPr>
        <w:t>17.Discretionary Nature and Acceptance of Award</w:t>
      </w:r>
      <w:r>
        <w:rPr>
          <w:rFonts w:ascii="Times New Roman;serif" w:hAnsi="Times New Roman;serif"/>
          <w:b w:val="false"/>
          <w:color w:val="000000"/>
          <w:sz w:val="20"/>
        </w:rPr>
        <w:t>. By accepting this Award, you agree to be bound by the terms of this Agreement and acknowledge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a.Solstice Advanced Materials Inc. (and not your local employer) is granting you Performance Units under this Agreement. This Agreement is not derived from any preexisting labor relationship between you and the Company, but rather from a mercantile relationship.</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Company may administer the Plan from outside your country of residence and United States law will govern all Performance Units granted under the Plan.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c.Benefits and rights provided under the Plan are wholly discretionary and, although provided by the Company, do not constitute regular or periodic payments.</w:t>
      </w:r>
    </w:p>
    <w:p>
      <w:pPr>
        <w:pStyle w:val="TextBody"/>
        <w:bidi w:val="0"/>
        <w:spacing w:before="0" w:after="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1155"/>
                <wp:effectExtent l="0" t="0" r="0" b="0"/>
                <wp:wrapNone/>
                <wp:docPr id="148"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grant of Performance Units hereunder, and any future grant of Performance Units under the Plan, is entirely voluntary, and at the complete discretion of the Company. Neither the grant of the Performance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except as provided in Section 19, no such amendment, suspension, or termination will adversely affect your rights hereunder.</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g.Participation in the Plan will not be deemed to constitute, and will not be deemed by you to constitute, an employment or labor relationship of any kind with the Company.</w:t>
      </w:r>
    </w:p>
    <w:p>
      <w:pPr>
        <w:pStyle w:val="TextBody"/>
        <w:bidi w:val="0"/>
        <w:spacing w:lineRule="auto" w:line="288" w:before="0" w:after="240"/>
        <w:ind w:left="0" w:right="0" w:hanging="360"/>
        <w:jc w:val="both"/>
        <w:rPr/>
      </w:pPr>
      <w:r>
        <w:rPr>
          <w:rFonts w:ascii="Times New Roman;serif" w:hAnsi="Times New Roman;serif"/>
          <w:b/>
          <w:color w:val="000000"/>
          <w:sz w:val="20"/>
        </w:rPr>
        <w:t>18.Limitations.</w:t>
      </w:r>
      <w:r>
        <w:rPr>
          <w:color w:val="000000"/>
        </w:rPr>
        <w:t xml:space="preserve"> </w:t>
      </w:r>
      <w:r>
        <w:rPr>
          <w:rFonts w:ascii="Times New Roman;serif" w:hAnsi="Times New Roman;serif"/>
          <w:b w:val="false"/>
          <w:color w:val="000000"/>
          <w:sz w:val="20"/>
        </w:rPr>
        <w:t>Nothing in this Agreement or the Plan gives you any right to continue in the employ of the Company or any of its Affiliates or to interfere in any way with the right of the Company or any Affiliate to terminate your employment at any time. Payment of your Actual Award is not secured by a trust, insurance contract or other funding medium, and you do not have any interest in any fund or specific asset of the Company by reason of this Agreement. You have no rights as a shareowner of the Company unless and until Shares are actually delivered to you.</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19.Agreement Changes. </w:t>
      </w:r>
      <w:r>
        <w:rPr>
          <w:rFonts w:ascii="Times New Roman;serif" w:hAnsi="Times New Roman;serif"/>
          <w:b w:val="false"/>
          <w:color w:val="000000"/>
          <w:sz w:val="20"/>
        </w:rPr>
        <w:t>The Company reserves the right to change the terms of this Agreement and the Plan without your consent to the extent necessary or desirable to comply with the requirements of Code section 409A or the Treasury regulations and other guidance thereunder.</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20.Incorporation of Other Agreements. </w:t>
      </w:r>
      <w:r>
        <w:rPr>
          <w:rFonts w:ascii="Times New Roman;serif" w:hAnsi="Times New Roman;serif"/>
          <w:b w:val="false"/>
          <w:color w:val="000000"/>
          <w:sz w:val="20"/>
        </w:rPr>
        <w:t>This Agreement and the Plan constitute the entire understanding between you and the Company regarding the Performance Units. This Agreement supersedes any prior agreements, commitments or negotiations concerning the Performance Units.</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21.Severability. </w:t>
      </w:r>
      <w:r>
        <w:rPr>
          <w:rFonts w:ascii="Times New Roman;serif" w:hAnsi="Times New Roman;serif"/>
          <w:b w:val="false"/>
          <w:color w:val="000000"/>
          <w:sz w:val="20"/>
        </w:rPr>
        <w:t>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22.Governing Law. </w:t>
      </w:r>
      <w:r>
        <w:rPr>
          <w:rFonts w:ascii="Times New Roman;serif" w:hAnsi="Times New Roman;serif"/>
          <w:b w:val="false"/>
          <w:color w:val="000000"/>
          <w:sz w:val="20"/>
        </w:rPr>
        <w:t>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w:t>
      </w:r>
    </w:p>
    <w:p>
      <w:pPr>
        <w:pStyle w:val="TextBody"/>
        <w:bidi w:val="0"/>
        <w:spacing w:before="0" w:after="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1155"/>
                <wp:effectExtent l="0" t="0" r="0" b="0"/>
                <wp:wrapNone/>
                <wp:docPr id="149"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23.Acknowledgements and Acceptance. </w:t>
      </w:r>
      <w:r>
        <w:rPr>
          <w:rFonts w:ascii="Times New Roman;serif" w:hAnsi="Times New Roman;serif"/>
          <w:b w:val="false"/>
          <w:color w:val="000000"/>
          <w:sz w:val="20"/>
        </w:rPr>
        <w:t>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Performance Units are replaced and superseded.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retain this Award, you must accept it on the Morgan Stanley At Work website.</w:t>
      </w:r>
    </w:p>
    <w:p>
      <w:pPr>
        <w:pStyle w:val="TextBody"/>
        <w:bidi w:val="0"/>
        <w:spacing w:before="0" w:after="2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10.23</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1155"/>
                <wp:effectExtent l="0" t="0" r="0" b="0"/>
                <wp:wrapNone/>
                <wp:docPr id="150"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2025 STOCK INCENTIVE PLAN</w:t>
        <w:br/>
        <w:t>OF SOLSTICE ADVANCED MATERIALS INC. AND ITS AFFILIATES</w: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 xml:space="preserve">This RESTRICTED STOCK UNIT AGREEMENT made in Morris Plains, New Jersey, as of </w:t>
      </w:r>
      <w:r>
        <w:rPr>
          <w:rFonts w:ascii="Times New Roman;serif" w:hAnsi="Times New Roman;serif"/>
          <w:b/>
          <w:color w:val="000000"/>
          <w:sz w:val="20"/>
        </w:rPr>
        <w:t>###GRANT_DATE###</w:t>
      </w:r>
      <w:r>
        <w:rPr>
          <w:color w:val="000000"/>
        </w:rPr>
        <w:t xml:space="preserve"> </w:t>
      </w:r>
      <w:r>
        <w:rPr>
          <w:rFonts w:ascii="Times New Roman;serif" w:hAnsi="Times New Roman;serif"/>
          <w:b w:val="false"/>
          <w:color w:val="000000"/>
          <w:sz w:val="20"/>
        </w:rPr>
        <w:t xml:space="preserve">(the “Grant Date”), between Solstice Advanced Materials Inc. (the “Company”) </w:t>
      </w:r>
      <w:r>
        <w:rPr>
          <w:rFonts w:ascii="Times New Roman;serif" w:hAnsi="Times New Roman;serif"/>
          <w:b/>
          <w:color w:val="000000"/>
          <w:sz w:val="20"/>
        </w:rPr>
        <w:t>and ###PARTICIPANT_NAME###</w:t>
      </w:r>
      <w:r>
        <w:rPr>
          <w:color w:val="000000"/>
        </w:rPr>
        <w:t xml:space="preserve"> </w:t>
      </w:r>
      <w:r>
        <w:rPr>
          <w:rFonts w:ascii="Times New Roman;serif" w:hAnsi="Times New Roman;serif"/>
          <w:b w:val="false"/>
          <w:color w:val="000000"/>
          <w:sz w:val="20"/>
        </w:rPr>
        <w:t>(“Participant”).</w:t>
      </w:r>
    </w:p>
    <w:p>
      <w:pPr>
        <w:pStyle w:val="TextBody"/>
        <w:bidi w:val="0"/>
        <w:spacing w:lineRule="auto" w:line="288" w:before="0" w:after="240"/>
        <w:ind w:left="0" w:right="0" w:hanging="504"/>
        <w:jc w:val="both"/>
        <w:rPr/>
      </w:pPr>
      <w:r>
        <w:rPr>
          <w:rFonts w:ascii="Times New Roman;serif" w:hAnsi="Times New Roman;serif"/>
          <w:b/>
          <w:color w:val="000000"/>
          <w:sz w:val="20"/>
        </w:rPr>
        <w:t>1.Grant of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###TOTAL_AWARDS###</w:t>
      </w:r>
      <w:r>
        <w:rPr>
          <w:color w:val="000000"/>
        </w:rPr>
        <w:t xml:space="preserve"> </w:t>
      </w:r>
      <w:r>
        <w:rPr>
          <w:rFonts w:ascii="Times New Roman;serif" w:hAnsi="Times New Roman;serif"/>
          <w:b w:val="false"/>
          <w:color w:val="000000"/>
          <w:sz w:val="20"/>
        </w:rPr>
        <w:t xml:space="preserve">Restricted Stock Units, subject to the provisions of this Agreement and the 2025 Stock Incentive Plan of Solstice Advanced Materials Inc. and its Affiliates (the “Plan”). The Company will hold the Restricted Stock Units and Additional Restricted Stock Units (as defined in Section 2) in a bookkeeping account on your behalf until they become payable or are forfeited or cancelled.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2.Dividend Equivalents. </w:t>
      </w:r>
      <w:r>
        <w:rPr>
          <w:rFonts w:ascii="Times New Roman;serif" w:hAnsi="Times New Roman;serif"/>
          <w:b w:val="false"/>
          <w:color w:val="000000"/>
          <w:sz w:val="20"/>
        </w:rPr>
        <w:t xml:space="preserve">Except as otherwise determined by the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t>
      </w:r>
    </w:p>
    <w:p>
      <w:pPr>
        <w:pStyle w:val="TextBody"/>
        <w:bidi w:val="0"/>
        <w:spacing w:lineRule="auto" w:line="288" w:before="0" w:after="240"/>
        <w:ind w:left="0" w:right="0" w:hanging="504"/>
        <w:jc w:val="both"/>
        <w:rPr/>
      </w:pPr>
      <w:r>
        <w:rPr>
          <w:rFonts w:ascii="Times New Roman;serif" w:hAnsi="Times New Roman;serif"/>
          <w:b/>
          <w:color w:val="000000"/>
          <w:sz w:val="20"/>
        </w:rPr>
        <w:t>3.Payment Amount.</w:t>
      </w:r>
      <w:r>
        <w:rPr>
          <w:color w:val="000000"/>
        </w:rPr>
        <w:t xml:space="preserve"> </w:t>
      </w:r>
      <w:r>
        <w:rPr>
          <w:rFonts w:ascii="Times New Roman;serif" w:hAnsi="Times New Roman;serif"/>
          <w:b w:val="false"/>
          <w:color w:val="000000"/>
          <w:sz w:val="20"/>
        </w:rPr>
        <w:t xml:space="preserve">Each Restricted Stock Unit and Additional Restricted Stock Unit represents one (1) Share of Common Stock. </w:t>
      </w:r>
    </w:p>
    <w:p>
      <w:pPr>
        <w:pStyle w:val="TextBody"/>
        <w:bidi w:val="0"/>
        <w:spacing w:lineRule="auto" w:line="288" w:before="0" w:after="240"/>
        <w:ind w:left="0" w:right="0" w:hanging="504"/>
        <w:jc w:val="both"/>
        <w:rPr/>
      </w:pPr>
      <w:r>
        <w:rPr>
          <w:rFonts w:ascii="Times New Roman;serif" w:hAnsi="Times New Roman;serif"/>
          <w:b/>
          <w:color w:val="000000"/>
          <w:sz w:val="20"/>
        </w:rPr>
        <w:t>4.Vesting.</w:t>
      </w:r>
      <w:r>
        <w:rPr>
          <w:color w:val="000000"/>
        </w:rPr>
        <w:t xml:space="preserve"> </w:t>
      </w:r>
      <w:r>
        <w:rPr>
          <w:rFonts w:ascii="Times New Roman;serif" w:hAnsi="Times New Roman;serif"/>
          <w:b w:val="false"/>
          <w:color w:val="000000"/>
          <w:sz w:val="20"/>
        </w:rPr>
        <w:t>Except in the event of your Termination of Service due to death or Disability,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pStyle w:val="TextBody"/>
        <w:bidi w:val="0"/>
        <w:spacing w:lineRule="auto" w:line="288" w:before="0" w:after="3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###VEST_SCHEDULE_TABLE###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504"/>
        <w:jc w:val="both"/>
        <w:rPr/>
      </w:pPr>
      <w:r>
        <w:rPr>
          <w:rFonts w:ascii="Times New Roman;serif" w:hAnsi="Times New Roman;serif"/>
          <w:b/>
          <w:color w:val="000000"/>
          <w:sz w:val="20"/>
        </w:rPr>
        <w:t>5.Form and Timing of Payment.</w:t>
      </w:r>
      <w:r>
        <w:rPr>
          <w:color w:val="000000"/>
        </w:rPr>
        <w:t xml:space="preserve"> </w:t>
      </w:r>
      <w:r>
        <w:rPr>
          <w:rFonts w:ascii="Times New Roman;serif" w:hAnsi="Times New Roman;serif"/>
          <w:b w:val="false"/>
          <w:color w:val="000000"/>
          <w:sz w:val="20"/>
        </w:rPr>
        <w:t>Vested Restricted Stock Units will be redeemed solely for Shares. Except as otherwise determined by the Company, in its sole discretion, vested Additional Restricted Stock Units will be redeemed solely for Shares. Except as otherwise provided in Section 7(b)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pStyle w:val="TextBody"/>
        <w:bidi w:val="0"/>
        <w:spacing w:lineRule="auto" w:line="288" w:before="0" w:after="240"/>
        <w:ind w:left="0" w:right="0" w:hanging="504"/>
        <w:jc w:val="both"/>
        <w:rPr/>
      </w:pPr>
      <w:r>
        <w:rPr>
          <w:rFonts w:ascii="Times New Roman;serif" w:hAnsi="Times New Roman;serif"/>
          <w:b/>
          <w:color w:val="000000"/>
          <w:sz w:val="20"/>
        </w:rPr>
        <w:t>6.Termination of Service.</w:t>
      </w:r>
      <w:r>
        <w:rPr>
          <w:color w:val="000000"/>
        </w:rPr>
        <w:t xml:space="preserve"> </w:t>
      </w:r>
      <w:r>
        <w:rPr>
          <w:rFonts w:ascii="Times New Roman;serif" w:hAnsi="Times New Roman;serif"/>
          <w:b w:val="false"/>
          <w:color w:val="000000"/>
          <w:sz w:val="20"/>
        </w:rPr>
        <w:t xml:space="preserve">Except as otherwise provided in Sections 7(a) and 8 of this Agreement, any Restricted Stock Units and Additional Restricted Stock Units that have not vested as of your Termination of Service will immediately be forfeited, and your rights with respect to these Restricted Stock Units and Additional Restricted Stock Units will end. </w:t>
      </w:r>
    </w:p>
    <w:p>
      <w:pPr>
        <w:pStyle w:val="TextBody"/>
        <w:bidi w:val="0"/>
        <w:spacing w:lineRule="auto" w:line="288" w:before="0" w:after="240"/>
        <w:ind w:left="0" w:right="0" w:hanging="504"/>
        <w:jc w:val="both"/>
        <w:rPr/>
      </w:pPr>
      <w:r>
        <w:rPr>
          <w:rFonts w:ascii="Times New Roman;serif" w:hAnsi="Times New Roman;serif"/>
          <w:b/>
          <w:color w:val="000000"/>
          <w:sz w:val="20"/>
        </w:rPr>
        <w:t>7.Retirement, Death or Disability.</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a.Vesting. </w:t>
      </w:r>
      <w:r>
        <w:rPr>
          <w:rFonts w:ascii="Times New Roman;serif" w:hAnsi="Times New Roman;serif"/>
          <w:b w:val="false"/>
          <w:color w:val="000000"/>
          <w:sz w:val="20"/>
        </w:rPr>
        <w:t>If your Termination of Service occurs due to death or Disability before the vesting date described in Section 4 of this Agreement, all of your unvested Restricted Stock Units and Additional Restricted Stock Units will vest as of your Termination of Service. If you are deceased, the Company will make a payment to your estate only after the Company has determined that the payee is the duly appointed executor or administrator of your estate, subject to Section 7.14 of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your Termination of Service due to Retirement occurs before the vesting date described in Section 4 of this Agreement, all unvested Restricted Stock Units and Additional Restricted Stock Units will be forfeited and your rights with respect to any award under this Agreement will terminate.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Agreement, “Retirement” means the Termination of Service on or after attainment of age 55 with 10 years of service, other than on account of an involuntary Termination of Service for Cause. For purposes of this definition, “years of service” is determined using the Participant’s most recent adjusted service date, as reflected at the Participant’s Termination of Service in the Company’s records.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b.Payment. </w:t>
      </w:r>
      <w:r>
        <w:rPr>
          <w:rFonts w:ascii="Times New Roman;serif" w:hAnsi="Times New Roman;serif"/>
          <w:b w:val="false"/>
          <w:color w:val="000000"/>
          <w:sz w:val="20"/>
        </w:rPr>
        <w:t xml:space="preserve">If your Termination of Service occurs due to death or Disability before the vesting date described in Section 4 of this Agreement, payment for vested Restricted Stock Units and Additional Restricted Stock Units will be made as soon as practicable following your Termination of Service, but in no event later than the last day of the calendar year in which your Termination of Service occurs. </w:t>
      </w:r>
    </w:p>
    <w:p>
      <w:pPr>
        <w:pStyle w:val="TextBody"/>
        <w:bidi w:val="0"/>
        <w:spacing w:lineRule="auto" w:line="288" w:before="0" w:after="240"/>
        <w:ind w:left="0" w:right="0" w:hanging="504"/>
        <w:jc w:val="both"/>
        <w:rPr/>
      </w:pPr>
      <w:r>
        <w:rPr>
          <w:rFonts w:ascii="Times New Roman;serif" w:hAnsi="Times New Roman;serif"/>
          <w:b/>
          <w:color w:val="000000"/>
          <w:sz w:val="20"/>
        </w:rPr>
        <w:t>8.Change in Control.</w:t>
      </w:r>
      <w:r>
        <w:rPr>
          <w:color w:val="000000"/>
        </w:rPr>
        <w:t xml:space="preserve"> </w:t>
      </w:r>
      <w:r>
        <w:rPr>
          <w:rFonts w:ascii="Times New Roman;serif" w:hAnsi="Times New Roman;serif"/>
          <w:b w:val="false"/>
          <w:color w:val="000000"/>
          <w:sz w:val="20"/>
        </w:rPr>
        <w:t>In the event of a Change in Control (as defined in the Plan), the following provisions apply:</w:t>
      </w:r>
    </w:p>
    <w:p>
      <w:pPr>
        <w:pStyle w:val="TextBody"/>
        <w:bidi w:val="0"/>
        <w:spacing w:lineRule="auto" w:line="288" w:before="0" w:after="24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Unless adjusted or exchanged pursuant to Section 5.4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lineRule="auto" w:line="288" w:before="0" w:after="24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If adjusted or exchanged pursuant to Section 5.4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Service not for Cause (as defined in Section 2.7 of the Plan) or a voluntary Termination of Service for Good Reason (as defined in Section 2.20 of the Plan) on or before the second anniversary of the date of the Change in Control, Restricted Stock Units and Additional Restricted Stock Units that have not vested or terminated as of your Termination of Service will immediately vest in full and be settled no later than the earlier of 90 days after the Termination of Service or two and one-half months after the end of the calendar year in which the Termination of Service occurs. </w:t>
      </w:r>
    </w:p>
    <w:p>
      <w:pPr>
        <w:pStyle w:val="TextBody"/>
        <w:bidi w:val="0"/>
        <w:spacing w:lineRule="auto" w:line="288" w:before="0" w:after="240"/>
        <w:ind w:left="0" w:right="0" w:hanging="504"/>
        <w:jc w:val="both"/>
        <w:rPr/>
      </w:pPr>
      <w:r>
        <w:rPr>
          <w:rFonts w:ascii="Times New Roman;serif" w:hAnsi="Times New Roman;serif"/>
          <w:b/>
          <w:color w:val="000000"/>
          <w:sz w:val="20"/>
        </w:rPr>
        <w:t>9.Withholdings.</w:t>
      </w:r>
      <w:r>
        <w:rPr>
          <w:color w:val="000000"/>
        </w:rPr>
        <w:t xml:space="preserve"> </w:t>
      </w:r>
      <w:r>
        <w:rPr>
          <w:rFonts w:ascii="Times New Roman;serif" w:hAnsi="Times New Roman;serif"/>
          <w:b w:val="false"/>
          <w:color w:val="000000"/>
          <w:sz w:val="20"/>
        </w:rPr>
        <w:t xml:space="preserve">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 </w:t>
      </w:r>
    </w:p>
    <w:p>
      <w:pPr>
        <w:pStyle w:val="TextBody"/>
        <w:bidi w:val="0"/>
        <w:spacing w:lineRule="auto" w:line="288" w:before="0" w:after="240"/>
        <w:ind w:left="0" w:right="0" w:hanging="504"/>
        <w:jc w:val="both"/>
        <w:rPr/>
      </w:pPr>
      <w:r>
        <w:rPr>
          <w:rFonts w:ascii="Times New Roman;serif" w:hAnsi="Times New Roman;serif"/>
          <w:b/>
          <w:color w:val="000000"/>
          <w:sz w:val="20"/>
        </w:rPr>
        <w:t>10.Transfer of Award.</w:t>
      </w:r>
      <w:r>
        <w:rPr>
          <w:color w:val="000000"/>
        </w:rPr>
        <w:t xml:space="preserve"> </w:t>
      </w:r>
      <w:r>
        <w:rPr>
          <w:rFonts w:ascii="Times New Roman;serif" w:hAnsi="Times New Roman;serif"/>
          <w:b w:val="false"/>
          <w:color w:val="000000"/>
          <w:sz w:val="20"/>
        </w:rPr>
        <w:t xml:space="preserve">You may not transfer the Restricted Stock Units, Additional Restricted Stock Units or any interest in such Units except by will or the laws of descent and distribution or except as permitted by the Committee and as specified in the Plan. Any other attempt to dispose of your interest will be null and void. </w:t>
      </w:r>
    </w:p>
    <w:p>
      <w:pPr>
        <w:pStyle w:val="TextBody"/>
        <w:bidi w:val="0"/>
        <w:spacing w:lineRule="auto" w:line="288" w:before="0" w:after="240"/>
        <w:ind w:left="0" w:right="0" w:hanging="504"/>
        <w:jc w:val="both"/>
        <w:rPr/>
      </w:pPr>
      <w:r>
        <w:rPr>
          <w:rFonts w:ascii="Times New Roman;serif" w:hAnsi="Times New Roman;serif"/>
          <w:b/>
          <w:color w:val="000000"/>
          <w:sz w:val="20"/>
        </w:rPr>
        <w:t>11.Requirements for and Forfeiture of Award.</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color w:val="000000"/>
          <w:sz w:val="20"/>
        </w:rPr>
        <w:t xml:space="preserve">a.General. </w:t>
      </w:r>
      <w:r>
        <w:rPr>
          <w:rFonts w:ascii="Times New Roman;serif" w:hAnsi="Times New Roman;serif"/>
          <w:b w:val="false"/>
          <w:color w:val="000000"/>
          <w:sz w:val="20"/>
        </w:rPr>
        <w:t xml:space="preserve">The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 </w:t>
      </w:r>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b.Remedies. </w:t>
      </w:r>
    </w:p>
    <w:p>
      <w:pPr>
        <w:pStyle w:val="TextBody"/>
        <w:bidi w:val="0"/>
        <w:spacing w:lineRule="auto" w:line="288" w:before="0" w:after="240"/>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 xml:space="preserve">You expressly agree and acknowledge that the forfeiture provisions of subsection 11.b.2. of this Agreement shall apply if (A) you are terminated for Cause (as defined in the Plan) or you voluntarily terminate your service with less than a 30-day notice period, or (B) from the Grant Date until the date that is twenty-four (24) months after your Termination of Service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Advanced Materials Inc. Chief Executive Officer (“CEO”)) with Solstice and the CEO has not approved the agreement or arrangement in writing, or (ii) make any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lineRule="auto" w:line="288" w:before="0" w:after="240"/>
        <w:ind w:left="0" w:right="0" w:hanging="360"/>
        <w:jc w:val="both"/>
        <w:rPr/>
      </w:pPr>
      <w:r>
        <w:rPr>
          <w:rFonts w:ascii="Times New Roman;serif" w:hAnsi="Times New Roman;serif"/>
          <w:b/>
          <w:color w:val="000000"/>
          <w:sz w:val="20"/>
        </w:rPr>
        <w:t>2.</w:t>
      </w:r>
      <w:r>
        <w:rPr>
          <w:rFonts w:ascii="Times New Roman;serif" w:hAnsi="Times New Roman;serif"/>
          <w:b w:val="false"/>
          <w:color w:val="000000"/>
          <w:sz w:val="20"/>
        </w:rPr>
        <w:t>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service with less than a 30-day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Service for Cause or voluntary Termination of Service, as applicable, and (ii) you shall immediately deliver to the Company Shares equal in value to the Restricted Stock Units and Additional Restricted Stock Units you received during the period beginning twelve (12) months prior to your Termination of Service and ending on (x) the date of the CEO’s determination in the case of a violation other than for a Termination of Service for Cause or voluntary termination without sufficient notice, or (y) the date of your Termination of Service in the case of a Termination of Service for Cause or voluntary termination without sufficient notice, as applicable.</w:t>
      </w:r>
    </w:p>
    <w:p>
      <w:pPr>
        <w:pStyle w:val="TextBody"/>
        <w:bidi w:val="0"/>
        <w:spacing w:lineRule="auto" w:line="288" w:before="0" w:after="240"/>
        <w:ind w:left="0" w:right="0" w:hanging="360"/>
        <w:jc w:val="both"/>
        <w:rPr/>
      </w:pPr>
      <w:r>
        <w:rPr>
          <w:rFonts w:ascii="Times New Roman;serif" w:hAnsi="Times New Roman;serif"/>
          <w:b/>
          <w:color w:val="000000"/>
          <w:sz w:val="20"/>
        </w:rPr>
        <w:t>3.</w:t>
      </w:r>
      <w:r>
        <w:rPr>
          <w:rFonts w:ascii="Times New Roman;serif" w:hAnsi="Times New Roman;serif"/>
          <w:b w:val="false"/>
          <w:color w:val="000000"/>
          <w:sz w:val="20"/>
        </w:rPr>
        <w:t xml:space="preserve">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 </w:t>
      </w:r>
    </w:p>
    <w:p>
      <w:pPr>
        <w:pStyle w:val="TextBody"/>
        <w:bidi w:val="0"/>
        <w:spacing w:lineRule="auto" w:line="288" w:before="0" w:after="240"/>
        <w:ind w:left="0" w:right="0" w:hanging="504"/>
        <w:jc w:val="both"/>
        <w:rPr/>
      </w:pPr>
      <w:r>
        <w:rPr>
          <w:rFonts w:ascii="Times New Roman;serif" w:hAnsi="Times New Roman;serif"/>
          <w:b/>
          <w:color w:val="000000"/>
          <w:sz w:val="20"/>
        </w:rPr>
        <w:t>12.Restrictions on Payment of Shares.</w:t>
      </w:r>
      <w:r>
        <w:rPr>
          <w:color w:val="000000"/>
        </w:rPr>
        <w:t xml:space="preserve"> </w:t>
      </w:r>
      <w:r>
        <w:rPr>
          <w:rFonts w:ascii="Times New Roman;serif" w:hAnsi="Times New Roman;serif"/>
          <w:b w:val="false"/>
          <w:color w:val="000000"/>
          <w:sz w:val="20"/>
        </w:rPr>
        <w:t xml:space="preserve">Payment of Shares for your Restricted Stock Units and Additional Restricted Stock Units is subject to the conditions that, to the extent required at the time of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lineRule="auto" w:line="288" w:before="0" w:after="240"/>
        <w:ind w:left="0" w:right="0" w:hanging="504"/>
        <w:jc w:val="both"/>
        <w:rPr/>
      </w:pPr>
      <w:r>
        <w:rPr>
          <w:rFonts w:ascii="Times New Roman;serif" w:hAnsi="Times New Roman;serif"/>
          <w:b/>
          <w:color w:val="000000"/>
          <w:sz w:val="20"/>
        </w:rPr>
        <w:t>13.Adjustments.</w:t>
      </w:r>
      <w:r>
        <w:rPr>
          <w:color w:val="000000"/>
        </w:rPr>
        <w:t xml:space="preserve"> </w:t>
      </w:r>
      <w:r>
        <w:rPr>
          <w:rFonts w:ascii="Times New Roman;serif" w:hAnsi="Times New Roman;serif"/>
          <w:b w:val="false"/>
          <w:color w:val="000000"/>
          <w:sz w:val="20"/>
        </w:rPr>
        <w:t xml:space="preserve">Any adjustments to the Restricted Stock Units and Additional Restricted Stock Units will be governed by Section 5.4 of the Plan. </w:t>
      </w:r>
    </w:p>
    <w:p>
      <w:pPr>
        <w:pStyle w:val="TextBody"/>
        <w:bidi w:val="0"/>
        <w:spacing w:lineRule="auto" w:line="288" w:before="0" w:after="240"/>
        <w:ind w:left="0" w:right="0" w:hanging="504"/>
        <w:jc w:val="both"/>
        <w:rPr/>
      </w:pPr>
      <w:r>
        <w:rPr>
          <w:rFonts w:ascii="Times New Roman;serif" w:hAnsi="Times New Roman;serif"/>
          <w:b/>
          <w:color w:val="000000"/>
          <w:sz w:val="20"/>
        </w:rPr>
        <w:t>14.Disposition of Securities.</w:t>
      </w:r>
      <w:r>
        <w:rPr>
          <w:color w:val="000000"/>
        </w:rPr>
        <w:t xml:space="preserve"> </w:t>
      </w:r>
      <w:r>
        <w:rPr>
          <w:rFonts w:ascii="Times New Roman;serif" w:hAnsi="Times New Roman;serif"/>
          <w:b w:val="false"/>
          <w:color w:val="000000"/>
          <w:sz w:val="20"/>
        </w:rPr>
        <w:t xml:space="preserve">By accepting the Award, you acknowledge that you have read and understand the Company’s policy, and are aware of and understand your obligations under applicable securities laws in respect of trading in the Company’s securities.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 </w:t>
      </w:r>
    </w:p>
    <w:p>
      <w:pPr>
        <w:pStyle w:val="TextBody"/>
        <w:bidi w:val="0"/>
        <w:spacing w:lineRule="auto" w:line="288" w:before="0" w:after="240"/>
        <w:ind w:left="0" w:right="0" w:hanging="504"/>
        <w:jc w:val="both"/>
        <w:rPr/>
      </w:pPr>
      <w:r>
        <w:rPr>
          <w:rFonts w:ascii="Times New Roman;serif" w:hAnsi="Times New Roman;serif"/>
          <w:b/>
          <w:color w:val="000000"/>
          <w:sz w:val="20"/>
        </w:rPr>
        <w:t>15.Plan Terms Govern.</w:t>
      </w:r>
      <w:r>
        <w:rPr>
          <w:color w:val="000000"/>
        </w:rPr>
        <w:t xml:space="preserve"> </w:t>
      </w:r>
      <w:r>
        <w:rPr>
          <w:rFonts w:ascii="Times New Roman;serif" w:hAnsi="Times New Roman;serif"/>
          <w:b w:val="false"/>
          <w:color w:val="000000"/>
          <w:sz w:val="20"/>
        </w:rPr>
        <w:t xml:space="preserve">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t>
      </w:r>
    </w:p>
    <w:p>
      <w:pPr>
        <w:pStyle w:val="TextBody"/>
        <w:bidi w:val="0"/>
        <w:spacing w:lineRule="auto" w:line="288" w:before="0" w:after="240"/>
        <w:ind w:left="0" w:right="0" w:hanging="504"/>
        <w:jc w:val="both"/>
        <w:rPr/>
      </w:pPr>
      <w:r>
        <w:rPr>
          <w:rFonts w:ascii="Times New Roman;serif" w:hAnsi="Times New Roman;serif"/>
          <w:b/>
          <w:color w:val="000000"/>
          <w:sz w:val="20"/>
        </w:rPr>
        <w:t>16.Personal Data.</w:t>
      </w:r>
      <w:r>
        <w:rPr>
          <w:color w:val="000000"/>
        </w:rPr>
        <w:t xml:space="preserve"> </w:t>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By entering into this Agreement, and as a condition of the grant of the Restricted Stock Units, you expressly consent to the collection, use, and transfer of personal data as described in this Section to the full extent permitted by and in full compliance with applicable law.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 xml:space="preserve">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 xml:space="preserve">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lineRule="auto" w:line="288" w:before="0" w:after="0"/>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service or after your Termination of Service.</w:t>
      </w:r>
    </w:p>
    <w:p>
      <w:pPr>
        <w:pStyle w:val="TextBody"/>
        <w:bidi w:val="0"/>
        <w:spacing w:before="0" w:after="0"/>
        <w:jc w:val="both"/>
        <w:rPr/>
      </w:pPr>
      <w:r>
        <w:rPr/>
      </w:r>
    </w:p>
    <w:p>
      <w:pPr>
        <w:pStyle w:val="TextBody"/>
        <w:bidi w:val="0"/>
        <w:spacing w:lineRule="auto" w:line="288" w:before="0" w:after="240"/>
        <w:ind w:left="0" w:right="0" w:hanging="504"/>
        <w:jc w:val="both"/>
        <w:rPr/>
      </w:pPr>
      <w:r>
        <w:rPr>
          <w:rFonts w:ascii="Times New Roman;serif" w:hAnsi="Times New Roman;serif"/>
          <w:b/>
          <w:color w:val="000000"/>
          <w:sz w:val="20"/>
        </w:rPr>
        <w:t>17.Discretionary Nature and Acceptance of Award</w:t>
      </w:r>
      <w:r>
        <w:rPr>
          <w:rFonts w:ascii="Times New Roman;serif" w:hAnsi="Times New Roman;serif"/>
          <w:b w:val="false"/>
          <w:color w:val="000000"/>
          <w:sz w:val="20"/>
        </w:rPr>
        <w:t xml:space="preserve">. By accepting this Award, you agree to be bound by the terms of this Agreement and acknowledge that: </w:t>
      </w:r>
    </w:p>
    <w:p>
      <w:pPr>
        <w:pStyle w:val="TextBody"/>
        <w:bidi w:val="0"/>
        <w:spacing w:lineRule="auto" w:line="288" w:before="0" w:after="0"/>
        <w:ind w:left="0" w:right="0" w:hanging="360"/>
        <w:jc w:val="both"/>
        <w:rPr/>
      </w:pPr>
      <w:r>
        <w:rPr>
          <w:rFonts w:ascii="Times New Roman;serif" w:hAnsi="Times New Roman;serif"/>
          <w:b/>
          <w:color w:val="000000"/>
          <w:sz w:val="20"/>
        </w:rPr>
        <w:t>a.</w:t>
      </w:r>
      <w:r>
        <w:rPr>
          <w:rFonts w:ascii="Times New Roman;serif" w:hAnsi="Times New Roman;serif"/>
          <w:b w:val="false"/>
          <w:color w:val="000000"/>
          <w:sz w:val="20"/>
        </w:rPr>
        <w:t xml:space="preserve">The Company (and not your local employer) is granting your Restricted Stock Units and Additional Restricted Stock Units. Furthermore, this Agreement is not derived from any preexisting labor relationship between you and the Company, but rather from a mercantile relationship.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b.</w:t>
      </w:r>
      <w:r>
        <w:rPr>
          <w:rFonts w:ascii="Times New Roman;serif" w:hAnsi="Times New Roman;serif"/>
          <w:b w:val="false"/>
          <w:color w:val="000000"/>
          <w:sz w:val="20"/>
        </w:rPr>
        <w:t xml:space="preserve">The Company may administer the Plan from outside your country of residence and United States law will govern all Restricted Stock Units and Additional Restricted Stock Units granted under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c.</w:t>
      </w:r>
      <w:r>
        <w:rPr>
          <w:rFonts w:ascii="Times New Roman;serif" w:hAnsi="Times New Roman;serif"/>
          <w:b w:val="false"/>
          <w:color w:val="000000"/>
          <w:sz w:val="20"/>
        </w:rPr>
        <w:t xml:space="preserve">Benefits and rights provided under the Plan are wholly discretionary and, although provided by the Company, do not constitute regular or periodic payments.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d.</w:t>
      </w:r>
      <w:r>
        <w:rPr>
          <w:rFonts w:ascii="Times New Roman;serif" w:hAnsi="Times New Roman;serif"/>
          <w:b w:val="false"/>
          <w:color w:val="000000"/>
          <w:sz w:val="20"/>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service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e.</w:t>
      </w:r>
      <w:r>
        <w:rPr>
          <w:rFonts w:ascii="Times New Roman;serif" w:hAnsi="Times New Roman;serif"/>
          <w:b w:val="false"/>
          <w:color w:val="000000"/>
          <w:sz w:val="20"/>
        </w:rPr>
        <w:t xml:space="preserve">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color w:val="000000"/>
          <w:sz w:val="20"/>
        </w:rPr>
        <w:t>f.</w:t>
      </w:r>
      <w:r>
        <w:rPr>
          <w:rFonts w:ascii="Times New Roman;serif" w:hAnsi="Times New Roman;serif"/>
          <w:b w:val="false"/>
          <w:color w:val="000000"/>
          <w:sz w:val="20"/>
        </w:rPr>
        <w:t>The Plan will not be deemed to constitute, and will not be construed by you to constitute, part of the terms and conditions of service. Neither the Company nor your local employer will incur any liability of any kind to you as a result of any change or amendment, or any cancellation, of the Plan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0"/>
        </w:rPr>
        <w:t>g.</w:t>
      </w:r>
      <w:r>
        <w:rPr>
          <w:rFonts w:ascii="Times New Roman;serif" w:hAnsi="Times New Roman;serif"/>
          <w:b w:val="false"/>
          <w:color w:val="000000"/>
          <w:sz w:val="20"/>
        </w:rPr>
        <w:t>Participation in the Plan will not be deemed to constitute, and will not be deemed by you to constitute, an employment or labor relationship of any kind with the Company.</w:t>
      </w:r>
    </w:p>
    <w:p>
      <w:pPr>
        <w:pStyle w:val="TextBody"/>
        <w:bidi w:val="0"/>
        <w:spacing w:lineRule="auto" w:line="288" w:before="0" w:after="240"/>
        <w:ind w:left="0" w:right="0" w:hanging="504"/>
        <w:jc w:val="both"/>
        <w:rPr/>
      </w:pPr>
      <w:r>
        <w:rPr>
          <w:rFonts w:ascii="Times New Roman;serif" w:hAnsi="Times New Roman;serif"/>
          <w:b/>
          <w:color w:val="000000"/>
          <w:sz w:val="20"/>
        </w:rPr>
        <w:t>18.Limitations.</w:t>
      </w:r>
      <w:r>
        <w:rPr>
          <w:color w:val="000000"/>
        </w:rPr>
        <w:t xml:space="preserve"> </w:t>
      </w:r>
      <w:r>
        <w:rPr>
          <w:rFonts w:ascii="Times New Roman;serif" w:hAnsi="Times New Roman;serif"/>
          <w:b w:val="false"/>
          <w:color w:val="000000"/>
          <w:sz w:val="20"/>
        </w:rPr>
        <w:t>Nothing in this Agreement or the Plan gives you any right to continue in the service of the Company or any of its Affiliates or to interfere in any way with the right of the Company or any Affiliate to terminate your service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w:t>
      </w:r>
      <w:r>
        <w:rPr>
          <w:color w:val="FF0000"/>
        </w:rPr>
        <w:t xml:space="preserve"> </w:t>
      </w:r>
      <w:r>
        <w:rPr>
          <w:rFonts w:ascii="Times New Roman;serif" w:hAnsi="Times New Roman;serif"/>
          <w:b w:val="false"/>
          <w:color w:val="000000"/>
          <w:sz w:val="20"/>
        </w:rPr>
        <w:t xml:space="preserve">of the Company pursuant to the Restricted Stock Units or Additional Restricted Stock Units until Shares are actually delivered to you. </w:t>
      </w:r>
    </w:p>
    <w:p>
      <w:pPr>
        <w:pStyle w:val="TextBody"/>
        <w:bidi w:val="0"/>
        <w:spacing w:lineRule="auto" w:line="288" w:before="0" w:after="240"/>
        <w:ind w:left="0" w:right="0" w:hanging="504"/>
        <w:jc w:val="both"/>
        <w:rPr/>
      </w:pPr>
      <w:r>
        <w:rPr>
          <w:rFonts w:ascii="Times New Roman;serif" w:hAnsi="Times New Roman;serif"/>
          <w:b/>
          <w:color w:val="000000"/>
          <w:sz w:val="20"/>
        </w:rPr>
        <w:t>19.Incorporation of Other Agreements.</w:t>
      </w:r>
      <w:r>
        <w:rPr>
          <w:color w:val="000000"/>
        </w:rPr>
        <w:t xml:space="preserve"> </w:t>
      </w:r>
      <w:r>
        <w:rPr>
          <w:rFonts w:ascii="Times New Roman;serif" w:hAnsi="Times New Roman;serif"/>
          <w:b w:val="false"/>
          <w:color w:val="000000"/>
          <w:sz w:val="20"/>
        </w:rPr>
        <w:t xml:space="preserve">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 </w:t>
      </w:r>
    </w:p>
    <w:p>
      <w:pPr>
        <w:pStyle w:val="TextBody"/>
        <w:bidi w:val="0"/>
        <w:spacing w:lineRule="auto" w:line="288" w:before="0" w:after="240"/>
        <w:ind w:left="0" w:right="0" w:hanging="504"/>
        <w:jc w:val="both"/>
        <w:rPr/>
      </w:pPr>
      <w:r>
        <w:rPr>
          <w:rFonts w:ascii="Times New Roman;serif" w:hAnsi="Times New Roman;serif"/>
          <w:b/>
          <w:color w:val="000000"/>
          <w:sz w:val="20"/>
        </w:rPr>
        <w:t>20.Severability.</w:t>
      </w:r>
      <w:r>
        <w:rPr>
          <w:color w:val="000000"/>
        </w:rPr>
        <w:t xml:space="preserve"> </w:t>
      </w:r>
      <w:r>
        <w:rPr>
          <w:rFonts w:ascii="Times New Roman;serif" w:hAnsi="Times New Roman;serif"/>
          <w:b w:val="false"/>
          <w:color w:val="000000"/>
          <w:sz w:val="20"/>
        </w:rPr>
        <w:t xml:space="preserve">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21.Governing Law. </w:t>
      </w:r>
      <w:r>
        <w:rPr>
          <w:rFonts w:ascii="Times New Roman;serif" w:hAnsi="Times New Roman;serif"/>
          <w:b w:val="false"/>
          <w:color w:val="000000"/>
          <w:sz w:val="20"/>
        </w:rPr>
        <w:t xml:space="preserve">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 </w:t>
      </w:r>
    </w:p>
    <w:p>
      <w:pPr>
        <w:pStyle w:val="TextBody"/>
        <w:bidi w:val="0"/>
        <w:spacing w:lineRule="auto" w:line="288" w:before="0" w:after="240"/>
        <w:ind w:left="0" w:right="0" w:hanging="504"/>
        <w:jc w:val="both"/>
        <w:rPr/>
      </w:pPr>
      <w:r>
        <w:rPr>
          <w:rFonts w:ascii="Times New Roman;serif" w:hAnsi="Times New Roman;serif"/>
          <w:b/>
          <w:color w:val="000000"/>
          <w:sz w:val="20"/>
        </w:rPr>
        <w:t xml:space="preserve">22.Agreement Changes. </w:t>
      </w:r>
      <w:r>
        <w:rPr>
          <w:rFonts w:ascii="Times New Roman;serif" w:hAnsi="Times New Roman;serif"/>
          <w:b w:val="false"/>
          <w:color w:val="000000"/>
          <w:sz w:val="20"/>
        </w:rPr>
        <w:t xml:space="preserve">The Company reserves the right to change the terms of this Agreement and the Plan without your consent to the extent necessary or desirable to comply with the requirements of Code section 409A, the Treasury regulations and other guidance thereunder. </w:t>
      </w:r>
    </w:p>
    <w:p>
      <w:pPr>
        <w:pStyle w:val="TextBody"/>
        <w:bidi w:val="0"/>
        <w:spacing w:lineRule="auto" w:line="288" w:before="0" w:after="240"/>
        <w:ind w:left="0" w:right="0" w:hanging="504"/>
        <w:jc w:val="both"/>
        <w:rPr/>
      </w:pPr>
      <w:r>
        <w:rPr>
          <w:rFonts w:ascii="Times New Roman;serif" w:hAnsi="Times New Roman;serif"/>
          <w:b/>
          <w:color w:val="000000"/>
          <w:sz w:val="20"/>
        </w:rPr>
        <w:t>23.Acknowledgements and Acceptance.</w:t>
      </w:r>
      <w:r>
        <w:rPr>
          <w:color w:val="000000"/>
        </w:rPr>
        <w:t xml:space="preserve"> </w:t>
      </w:r>
      <w:r>
        <w:rPr>
          <w:rFonts w:ascii="Times New Roman;serif" w:hAnsi="Times New Roman;serif"/>
          <w:b w:val="false"/>
          <w:color w:val="000000"/>
          <w:sz w:val="20"/>
        </w:rPr>
        <w:t xml:space="preserve">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retain this Award, you must accept it on the Morgan Stanley website.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10.27</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INCENTIVE COMPENSATION PLAN FOR EXECUTIVE EMPLOYEES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1.    Purpose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the Solstice Advanced Materials Inc. Incentive Compensation Plan for Executive Employees (the “Plan”) is to attract and retain highly qualified employees, to obtain from each the best possible performance, and to underscore the importance to such employees of achieving particular business objectives. The effective date of the Plan is February 16,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2.    Definitions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the purposes of the Plan, the following terms shall have the following meanings: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    “Board of Directors” means the Board of Directors of Solstice.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2.2    “Change in Control” means (i) any one person, or more than one person acting as a</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group (as defined under Treasury Regulation § 1.409A-3(i)(5)(v)(B)) acquires ownership of stock of Solstice that, together with stock held by such person or group, constitutes more than 50 percent of the total fair market value or total voting power of the stock of Solstice; or (ii) any one person, or more than one person acting as a group (as defined under Treasury Regulation § 1.409A-3(i)(5)(v)(B)) acquires (or has acquired during the 12-month period ending on the date of the most recent acquisition by such person or persons) ownership of stock of Solstice possessing 30 percent or more of the total voting power of the stock of Solstice; or (iii) a majority of members of the Board of Directors is replaced during any 12-month period by directors whose appointment or election is not endorsed by a majority of the members of the Board of Directors before the date of the appointment or election; or (iv) any one person, or more than one person acting as a group (as defined in Treasury Regulation § 1.409A-3(i)(5)(v)(B)) acquires (or has acquired during the 12- month period ending on the date of the most recent acquisition by such person or persons) assets from the Company that have a total gross fair market value equal to or more than 40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in Control for purposes of this Plan.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2.3    “Change in Control Date” means the date on which a Change in Control occurs.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2.4    “Chief Executive Officer” means the Chief Executive Officer of Solstice.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2.5    “Code” means the Internal Revenue Code of 1986, as amended from time to time, and all regulations, interpretations, and administrative guidance issued thereunder.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2.6    “Committee”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 The Committee shall at all times be comprised solely of two or more outside directors and shall be “independent” pursuant to the listing requirements of the NASDAQ (or other such exchange on which the Company’s shares may be listed for trading) as may be applicable from time to time.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2.7    “Common Stock” means the common stock of Solstice.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2.8    “Company” means Solstice and its subsidiaries and affiliated entities, as well as their respective successors.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2.9    “Corporate Officer” means any Executive Employee who has been elected by the Board of Directors as an officer of the Company.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2.10    “Employee” means any Executive Employee who is on the active salaried payroll of the Company at any time during the Performance Period for which an Incentive Compensation Award relates.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2.11    “Executive Employee” means an Employee of the Company who is designated by the Company as an Executive level employee.</w:t>
      </w:r>
    </w:p>
    <w:p>
      <w:pPr>
        <w:pStyle w:val="TextBody"/>
        <w:bidi w:val="0"/>
        <w:jc w:val="both"/>
        <w:rPr/>
      </w:pPr>
      <w:r>
        <w:rPr/>
      </w:r>
    </w:p>
    <w:p>
      <w:pPr>
        <w:pStyle w:val="TextBody"/>
        <w:bidi w:val="0"/>
        <w:spacing w:before="0" w:after="0"/>
        <w:jc w:val="both"/>
        <w:rPr/>
      </w:pPr>
      <w:r>
        <w:rPr/>
        <w:drawing>
          <wp:inline distT="0" distB="0" distL="0" distR="0">
            <wp:extent cx="1019175" cy="390525"/>
            <wp:effectExtent l="0" t="0" r="0" b="0"/>
            <wp:docPr id="1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 descr=""/>
                    <pic:cNvPicPr>
                      <a:picLocks noChangeAspect="1" noChangeArrowheads="1"/>
                    </pic:cNvPicPr>
                  </pic:nvPicPr>
                  <pic:blipFill>
                    <a:blip r:embed="rId33"/>
                    <a:stretch>
                      <a:fillRect/>
                    </a:stretch>
                  </pic:blipFill>
                  <pic:spPr bwMode="auto">
                    <a:xfrm>
                      <a:off x="0" y="0"/>
                      <a:ext cx="1019175" cy="390525"/>
                    </a:xfrm>
                    <a:prstGeom prst="rect">
                      <a:avLst/>
                    </a:prstGeom>
                  </pic:spPr>
                </pic:pic>
              </a:graphicData>
            </a:graphic>
          </wp:inline>
        </w:drawing>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1945"/>
                <wp:effectExtent l="0" t="0" r="0" b="0"/>
                <wp:wrapNone/>
                <wp:docPr id="159" name="Frame1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2.12    “Good Reason” means, without the Employee’s consent, (a) a material reduction in the Employee’s total cash compensation opportunity in effect immediately prior to the Change in Control; (b) the permanent elimination of the Employee’s position, not including a transfer pursuant to the sale of a facility or line of business, if and only if the Employee is offered substantially comparable employment with the successor employer; (c) a material adverse change to the Employee’s position, function, responsibilities or reporting level, or in the standard of performance required of the Employee, as determined immediately prior to a Change in Control; (d) a material change in the geographic location at which the Employee must perform his or her services from the location the Employee was required to perform such services immediately prior to a Change in Control; or (e) an action by the Company that under applicable law constitutes constructive discharge. Notwithstanding the foregoing, Good Reason shall not be deemed to have occurred unless the Employee provides written notice to the Company identifying the event or omission constituting the reason for a Good Reason termination within ninety (90) days following the first occurrence of such event or omission. Within thirty (30) days after such notice has been provided to the Company, the Company shall have to opportunity, but shall have no obligation, to cure the events or conditions that give rise to a Good Reason termination. If the Company fails to cure the events or conditions giving rise to an Employee’s Good Reason termination by the end of the thirty (30) day cure period, the Employee’s employment shall be terminated effective as of the expiration of such thirty (30) day cure period unless the Employee has withdrawn such Good Reason termination notice.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2.13    “Gross Cause” means (i) a fraud committed against the Company, (ii) the misappropriation of the Company’s property, (iii) intentional misconduct that is damaging to the Company’s property or business, or (iv) the commission of a felony.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2.14    “Solstice” means Solstice Advanced Materials Inc., a Delaware corporation.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2.15    “Incentive Compensation Awards” means cash awards based on the achievement of (i) short-term business objectives for the Company, as established by the Board of Directors or the Committee for this purpose for each Performance Period, and (ii) short-term business objectives for the Company’s operating units, as established by the Chief Executive Officer for this purpose for each Performance Period.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2.16    “Performance Period” means the Solstice fiscal year or such other period as may be designated by the Committee (not to exceed 18-months) with respect to which Incentive Compensation Awards may be payable under the Plan; provided that no Performance Period shall begin before the previous Performance Period ends.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2.17    “Section 409A” means Section 409A of the Code.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2.18    “Stub Period” means the portion of a Performance Period that ends on the Change in Control Date.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3.    Amounts Available for Incentive Compensation Awards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total maximum amount available and/or individual maximum amounts for Incentive Compensation Awards for a Performance Period may be determined by the Committee from time to time.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4.    Eligibility for Incentive Compensation Awards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4.1    </w:t>
      </w:r>
      <w:r>
        <w:rPr>
          <w:rFonts w:ascii="Times New Roman;serif" w:hAnsi="Times New Roman;serif"/>
          <w:b w:val="false"/>
          <w:color w:val="000000"/>
          <w:sz w:val="20"/>
          <w:u w:val="single"/>
        </w:rPr>
        <w:t>General Eligibility Criteria</w:t>
      </w:r>
      <w:r>
        <w:rPr>
          <w:rFonts w:ascii="Times New Roman;serif" w:hAnsi="Times New Roman;serif"/>
          <w:b w:val="false"/>
          <w:color w:val="000000"/>
          <w:sz w:val="20"/>
        </w:rPr>
        <w:t>. Only Executive Employees shall be eligible for Incentive Compensation Awards under the Plan. Incentive Compensation Awards to Corporate Officers for any period may be granted to those Corporate Officers, if any, selected by the Committee. Such selections, except in the case of the Chief Executive Officer, shall be made after considering the recommendations of the Chief Executive Officer. The Committee shall also give consideration to the contribution made by each Corporate Officer to the achievement of the Company’s established objectives and such other matters as it shall deem relevant.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Incentive Compensation Awards to Executive Employees (other than Corporate Officers) for any period may be granted to those Executive Employees (other than Corporate Officers) selected by the Chief Executive Officer, to the extent the authority to determine Incentive Compensation Awards has been delegated to the Chief Executive Officer by the Committee with respect to Executive Employees (other than Corporate Officers). The Chief Executive Officer shall also give consideration to the contribution made by each such Executive Employee to the achievement of the Company’s established objectives and such other matters as they shall deem relevant.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5.    Determination of Amounts of Incentive Compensation Awards</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20"/>
        </w:rPr>
        <w:t>5.1    </w:t>
      </w:r>
      <w:r>
        <w:rPr>
          <w:rFonts w:ascii="Times New Roman;serif" w:hAnsi="Times New Roman;serif"/>
          <w:b w:val="false"/>
          <w:color w:val="000000"/>
          <w:sz w:val="20"/>
          <w:u w:val="single"/>
        </w:rPr>
        <w:t>Incentive Compensation Award Amounts</w:t>
      </w:r>
      <w:r>
        <w:rPr>
          <w:rFonts w:ascii="Times New Roman;serif" w:hAnsi="Times New Roman;serif"/>
          <w:b w:val="false"/>
          <w:color w:val="000000"/>
          <w:sz w:val="20"/>
        </w:rPr>
        <w:t xml:space="preserve">. Subject to any maximum amounts determined by the Committee pursuant to Section 3, the amounts of individual Incentive Compensation Awards to (i) Corporate Officers shall be determined by the Committee acting in its discretion, (ii) Executive Employees (other than Corporate Officers) shall be determined by the Chief Executive Officer. Such determinations shall be made after consideration of such matters </w:t>
      </w:r>
    </w:p>
    <w:p>
      <w:pPr>
        <w:pStyle w:val="TextBody"/>
        <w:bidi w:val="0"/>
        <w:spacing w:before="0" w:after="0"/>
        <w:jc w:val="both"/>
        <w:rPr/>
      </w:pPr>
      <w:r>
        <w:rPr/>
        <w:drawing>
          <wp:inline distT="0" distB="0" distL="0" distR="0">
            <wp:extent cx="1019175" cy="390525"/>
            <wp:effectExtent l="0" t="0" r="0" b="0"/>
            <wp:docPr id="16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 descr=""/>
                    <pic:cNvPicPr>
                      <a:picLocks noChangeAspect="1" noChangeArrowheads="1"/>
                    </pic:cNvPicPr>
                  </pic:nvPicPr>
                  <pic:blipFill>
                    <a:blip r:embed="rId34"/>
                    <a:stretch>
                      <a:fillRect/>
                    </a:stretch>
                  </pic:blipFill>
                  <pic:spPr bwMode="auto">
                    <a:xfrm>
                      <a:off x="0" y="0"/>
                      <a:ext cx="1019175" cy="390525"/>
                    </a:xfrm>
                    <a:prstGeom prst="rect">
                      <a:avLst/>
                    </a:prstGeom>
                  </pic:spPr>
                </pic:pic>
              </a:graphicData>
            </a:graphic>
          </wp:inline>
        </w:drawing>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1945"/>
                <wp:effectExtent l="0" t="0" r="0" b="0"/>
                <wp:wrapNone/>
                <wp:docPr id="161" name="Frame1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as the Committee or the Chief Executive Officer, as applicable, shall deem relevant including, except in the case of an Incentive Compensation Award for the Chief Executive Officer, the recommendations of the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5.2    </w:t>
      </w:r>
      <w:r>
        <w:rPr>
          <w:rFonts w:ascii="Times New Roman;serif" w:hAnsi="Times New Roman;serif"/>
          <w:b w:val="false"/>
          <w:color w:val="000000"/>
          <w:sz w:val="20"/>
          <w:u w:val="single"/>
        </w:rPr>
        <w:t>Calculation of Incentive Compensation Awards</w:t>
      </w:r>
      <w:r>
        <w:rPr>
          <w:rFonts w:ascii="Times New Roman;serif" w:hAnsi="Times New Roman;serif"/>
          <w:b w:val="false"/>
          <w:color w:val="000000"/>
          <w:sz w:val="20"/>
        </w:rPr>
        <w:t>. The performance goal(s) for the Performance Period shall be set by the Committee no later than 120 days after the start of the Performance Period. If the performance goals are obtained, Incentive Compensation Awards may be determined and paid for the Performance Period in accordance with the terms of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5.3    </w:t>
      </w:r>
      <w:r>
        <w:rPr>
          <w:rFonts w:ascii="Times New Roman;serif" w:hAnsi="Times New Roman;serif"/>
          <w:b w:val="false"/>
          <w:color w:val="000000"/>
          <w:sz w:val="20"/>
          <w:u w:val="single"/>
        </w:rPr>
        <w:t>Certification</w:t>
      </w:r>
      <w:r>
        <w:rPr>
          <w:rFonts w:ascii="Times New Roman;serif" w:hAnsi="Times New Roman;serif"/>
          <w:b w:val="false"/>
          <w:color w:val="000000"/>
          <w:sz w:val="20"/>
        </w:rPr>
        <w:t>. No Incentive Compensation Awards shall be paid to Employees prior to certification by the Committee of the attainment of the performance goals set by the Committee for the Performance Period to which the Incentive Compensation Awards relate, and assurances from the Chief Financial Officer that the Incentive Compensation Awards to be paid do not exceed any maximum amounts of limits set by the Committee for the Performance Period.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6.    Form of Incentive Compensation Awards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Incentive Compensation Awards under the Plan shall be paid in cash.</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7.    Payment of Incentive Compensation Awards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7.1    </w:t>
      </w:r>
      <w:r>
        <w:rPr>
          <w:rFonts w:ascii="Times New Roman;serif" w:hAnsi="Times New Roman;serif"/>
          <w:b w:val="false"/>
          <w:color w:val="000000"/>
          <w:sz w:val="20"/>
          <w:u w:val="single"/>
        </w:rPr>
        <w:t>Timing and Eligibility for Payment</w:t>
      </w:r>
      <w:r>
        <w:rPr>
          <w:rFonts w:ascii="Times New Roman;serif" w:hAnsi="Times New Roman;serif"/>
          <w:b w:val="false"/>
          <w:color w:val="000000"/>
          <w:sz w:val="20"/>
        </w:rPr>
        <w:t>. Incentive Compensation Awards shall be paid in full in one lump sum as soon as practicable following the end of the Performance Period in which the Incentive Compensation Award was earned, but no later than the 15th day of the third month following the end of the Solstice fiscal year in which the Performance Period ended, provided that, except as otherwise provided in Section 5.2, the recipient Employee is still actively employed by the Company on the date Incentive Compensation Awards are paid.</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7.2    </w:t>
      </w:r>
      <w:r>
        <w:rPr>
          <w:rFonts w:ascii="Times New Roman;serif" w:hAnsi="Times New Roman;serif"/>
          <w:b w:val="false"/>
          <w:color w:val="000000"/>
          <w:sz w:val="20"/>
          <w:u w:val="single"/>
        </w:rPr>
        <w:t>Deferrals</w:t>
      </w:r>
      <w:r>
        <w:rPr>
          <w:rFonts w:ascii="Times New Roman;serif" w:hAnsi="Times New Roman;serif"/>
          <w:b w:val="false"/>
          <w:color w:val="000000"/>
          <w:sz w:val="20"/>
        </w:rPr>
        <w:t>. The Committee may, in its sole discretion, permit Employees to defer Incentive Compensation Awards in accordance with and subject to the terms and conditions of the Company’s deferred incentive compensation plans.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8.    </w:t>
      </w:r>
      <w:r>
        <w:rPr>
          <w:rFonts w:ascii="Times New Roman;serif" w:hAnsi="Times New Roman;serif"/>
          <w:b/>
          <w:color w:val="000000"/>
          <w:sz w:val="20"/>
        </w:rPr>
        <w:t>Recoupment of Incentive Compensation Awards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Committee shall have the authority to condition the receipt of an Incentive Compensation Award upon the execution of an agreement that contains intellectual property, confidentiality, nonsolicitation and noncompetition covenants (“Protective Agreement”) in favor of the Company in a form determined by the Committee from time to time. If any Incentive Compensation Award recipient violates the terms of the Protective Agreement, the Board of Directors shall have the right to recoup, and the recipient shall have the obligation to repay, all or part of any Incentive Compensation Award that is subject to a Protective Agreement.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Committee shall also have the authority to recoup, and each recipient shall have the obligation to repay, all or part of any Incentive Compensation Award paid under this Plan that may be required to be subject to recoupment under federal or state laws, Company policy or the listing requirements of the NASDAQ (or other such exchange on which the Company’s shares may be listed for trading) as may be applicable from time to time.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9.    Corporate Transactions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9.1    </w:t>
      </w:r>
      <w:r>
        <w:rPr>
          <w:rFonts w:ascii="Times New Roman;serif" w:hAnsi="Times New Roman;serif"/>
          <w:b w:val="false"/>
          <w:color w:val="000000"/>
          <w:sz w:val="20"/>
          <w:u w:val="single"/>
        </w:rPr>
        <w:t>Plan Termination Triggers</w:t>
      </w:r>
      <w:r>
        <w:rPr>
          <w:rFonts w:ascii="Times New Roman;serif" w:hAnsi="Times New Roman;serif"/>
          <w:b w:val="false"/>
          <w:color w:val="000000"/>
          <w:sz w:val="20"/>
        </w:rPr>
        <w:t>. Notwithstanding anything to the contrary in the Plan, in the event of a Change in Control, this Plan shall terminate as of the Change in Control Date.</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9.2    </w:t>
      </w:r>
      <w:r>
        <w:rPr>
          <w:rFonts w:ascii="Times New Roman;serif" w:hAnsi="Times New Roman;serif"/>
          <w:b w:val="false"/>
          <w:color w:val="000000"/>
          <w:sz w:val="20"/>
          <w:u w:val="single"/>
        </w:rPr>
        <w:t>Incentive Compensation Awards for Stub Period</w:t>
      </w:r>
      <w:r>
        <w:rPr>
          <w:rFonts w:ascii="Times New Roman;serif" w:hAnsi="Times New Roman;serif"/>
          <w:b w:val="false"/>
          <w:color w:val="000000"/>
          <w:sz w:val="20"/>
        </w:rPr>
        <w:t>. If a Change in Control occurs, Employees shall be entitled to an Incentive Compensation Award for the Stub Period. The amount of such Incentive Compensation Awards shall be determined in accordance with the provisions of Section 6 and in a manner consistent with past practice by treating the Stub Period as the Performance Period and with the applicable metrics and Incentive Compensation Awards adjusted, to the extent necessary, to reflect the length of the Stub Period. The amount of the Incentive Compensation Awards shall be determined prior to the Change in Control Date and shall be based on the good faith estimates of the Company’s financial performance for the Stub Period, as determined by the Committee (as constituted immediately prior to the Change in Control) with the advice of Solstice’s independent auditors.</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20"/>
        </w:rPr>
        <w:t>9.3    </w:t>
      </w:r>
      <w:r>
        <w:rPr>
          <w:rFonts w:ascii="Times New Roman;serif" w:hAnsi="Times New Roman;serif"/>
          <w:b w:val="false"/>
          <w:color w:val="000000"/>
          <w:sz w:val="20"/>
          <w:u w:val="single"/>
        </w:rPr>
        <w:t>Payment of Incentive Compensation Awards</w:t>
      </w:r>
      <w:r>
        <w:rPr>
          <w:rFonts w:ascii="Times New Roman;serif" w:hAnsi="Times New Roman;serif"/>
          <w:b w:val="false"/>
          <w:color w:val="000000"/>
          <w:sz w:val="20"/>
        </w:rPr>
        <w:t xml:space="preserve">. Any Incentive Compensation Award shall be paid in full in one lump sum no later than the 15th day of the third month of the Solstice fiscal year in which the Stub Period ended, provided that the Employee is still actively employed by the Company on the date Incentive Compensation Awards are paid. Notwithstanding the foregoing, if an Employee is employed by the Company on the Change in Control Date but not on the date Incentive Compensation Awards are paid because (i) he or she has been </w:t>
      </w:r>
    </w:p>
    <w:p>
      <w:pPr>
        <w:pStyle w:val="TextBody"/>
        <w:bidi w:val="0"/>
        <w:spacing w:before="0" w:after="0"/>
        <w:jc w:val="both"/>
        <w:rPr/>
      </w:pPr>
      <w:r>
        <w:rPr/>
        <w:drawing>
          <wp:inline distT="0" distB="0" distL="0" distR="0">
            <wp:extent cx="1019175" cy="390525"/>
            <wp:effectExtent l="0" t="0" r="0" b="0"/>
            <wp:docPr id="16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 descr=""/>
                    <pic:cNvPicPr>
                      <a:picLocks noChangeAspect="1" noChangeArrowheads="1"/>
                    </pic:cNvPicPr>
                  </pic:nvPicPr>
                  <pic:blipFill>
                    <a:blip r:embed="rId35"/>
                    <a:stretch>
                      <a:fillRect/>
                    </a:stretch>
                  </pic:blipFill>
                  <pic:spPr bwMode="auto">
                    <a:xfrm>
                      <a:off x="0" y="0"/>
                      <a:ext cx="1019175" cy="390525"/>
                    </a:xfrm>
                    <a:prstGeom prst="rect">
                      <a:avLst/>
                    </a:prstGeom>
                  </pic:spPr>
                </pic:pic>
              </a:graphicData>
            </a:graphic>
          </wp:inline>
        </w:drawing>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1945"/>
                <wp:effectExtent l="0" t="0" r="0" b="0"/>
                <wp:wrapNone/>
                <wp:docPr id="163" name="Frame1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involuntarily terminated other than for Gross Cause, or (ii) he or she has voluntarily resigned for Good Reason, such Employee shall be treated for this Section 9 as being employed by the Company on the date Incentive Compensation Awards are paid.</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9.4    </w:t>
      </w:r>
      <w:r>
        <w:rPr>
          <w:rFonts w:ascii="Times New Roman;serif" w:hAnsi="Times New Roman;serif"/>
          <w:b w:val="false"/>
          <w:color w:val="000000"/>
          <w:sz w:val="20"/>
          <w:u w:val="single"/>
        </w:rPr>
        <w:t>Deferred Incentive Compensation Awards</w:t>
      </w:r>
      <w:r>
        <w:rPr>
          <w:rFonts w:ascii="Times New Roman;serif" w:hAnsi="Times New Roman;serif"/>
          <w:b w:val="false"/>
          <w:color w:val="000000"/>
          <w:sz w:val="20"/>
        </w:rPr>
        <w:t>. Notwithstanding anything herein to the contrary, to the extent an Incentive Compensation Award has been deferred pursuant to Section 7.2, such Incentive Compensation Award shall be subject to the terms and conditions of the deferred compensation plan including, without limitation, with respect to change in control events.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10.    Power and Authority of the Committee and the Chief Executive Officer</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10.1    </w:t>
      </w:r>
      <w:r>
        <w:rPr>
          <w:rFonts w:ascii="Times New Roman;serif" w:hAnsi="Times New Roman;serif"/>
          <w:b w:val="false"/>
          <w:color w:val="000000"/>
          <w:sz w:val="20"/>
          <w:u w:val="single"/>
        </w:rPr>
        <w:t>Plan Administration</w:t>
      </w:r>
      <w:r>
        <w:rPr>
          <w:rFonts w:ascii="Times New Roman;serif" w:hAnsi="Times New Roman;serif"/>
          <w:b w:val="false"/>
          <w:color w:val="000000"/>
          <w:sz w:val="20"/>
        </w:rPr>
        <w:t>. The Plan shall be administered by the Committee, which shall have full power and authority (i) to prescribe, amend and rescind rules and procedures relating to the Plan; (ii) subject to the provisions of this Plan, to delegate to one or more officers of the Company some or all of its authority under the Plan; (iii) to employ such legal counsel, independent auditors and consultants as it deems desirable for the administration of the Plan and to rely upon any opinion or computation received therefrom; and (iv) to make all determinations, and to formulate such procedures, as may be necessary or advisable in the opinion of the Committee for the administration of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10.2    </w:t>
      </w:r>
      <w:r>
        <w:rPr>
          <w:rFonts w:ascii="Times New Roman;serif" w:hAnsi="Times New Roman;serif"/>
          <w:b w:val="false"/>
          <w:color w:val="000000"/>
          <w:sz w:val="20"/>
          <w:u w:val="single"/>
        </w:rPr>
        <w:t>Plan Construction and Interpretation</w:t>
      </w:r>
      <w:r>
        <w:rPr>
          <w:rFonts w:ascii="Times New Roman;serif" w:hAnsi="Times New Roman;serif"/>
          <w:b w:val="false"/>
          <w:color w:val="000000"/>
          <w:sz w:val="20"/>
        </w:rPr>
        <w:t>. The Committee shall have full power and authority to construe and interpret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10.3    </w:t>
      </w:r>
      <w:r>
        <w:rPr>
          <w:rFonts w:ascii="Times New Roman;serif" w:hAnsi="Times New Roman;serif"/>
          <w:b w:val="false"/>
          <w:color w:val="000000"/>
          <w:sz w:val="20"/>
          <w:u w:val="single"/>
        </w:rPr>
        <w:t>Determinations of Committee and Chief Executive Officer Final and Binding</w:t>
      </w:r>
      <w:r>
        <w:rPr>
          <w:rFonts w:ascii="Times New Roman;serif" w:hAnsi="Times New Roman;serif"/>
          <w:b w:val="false"/>
          <w:color w:val="000000"/>
          <w:sz w:val="20"/>
        </w:rPr>
        <w:t>. All determinations by the Committee in carrying out and administering the Plan and in construing and interpreting the Plan shall be made in the Committee’s sole discretion and shall be final, binding and conclusive for all purposes and upon all persons interested herein. The Committee or the Chief Executive Officer’s decisions regarding the amount of each Incentive Compensation Award, as applicable, shall be final, binding and conclusive for all purposes and need not be consistent among Employees.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10.4    </w:t>
      </w:r>
      <w:r>
        <w:rPr>
          <w:rFonts w:ascii="Times New Roman;serif" w:hAnsi="Times New Roman;serif"/>
          <w:b w:val="false"/>
          <w:color w:val="000000"/>
          <w:sz w:val="20"/>
          <w:u w:val="single"/>
        </w:rPr>
        <w:t>Liability of Committee and Chief Executive Officer</w:t>
      </w:r>
      <w:r>
        <w:rPr>
          <w:rFonts w:ascii="Times New Roman;serif" w:hAnsi="Times New Roman;serif"/>
          <w:b w:val="false"/>
          <w:color w:val="000000"/>
          <w:sz w:val="20"/>
        </w:rPr>
        <w:t>. Neither the Committee (or its delegates) nor the Chief Executive Officer shall be liable for any action or determination made in good faith with respect to the Plan or any Incentive Compensation Award, and the members of the Committee (and its delegates) and the Chief Executive Officer shall be entitled to indemnification and reimbursement in the manner provided in the Company’s Articles of Incorporation or its By-laws, as applicable, in each case as amended and in effect from time to time. In the performance of its responsibilities with respect to the Plan, the Committee and the Chief Executive Officer shall be entitled to rely upon information and advice furnished by the Company’s officers and employees, the Company’s accountants, the Company’s legal counsel or any other person the Committee and the Chief Executive Officer deem necessary, and neither the Committee nor the Chief Executive Officer shall be liable for any action taken or not taken in good faith reliance upon any such advice.</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10.5    </w:t>
      </w:r>
      <w:r>
        <w:rPr>
          <w:rFonts w:ascii="Times New Roman;serif" w:hAnsi="Times New Roman;serif"/>
          <w:b w:val="false"/>
          <w:color w:val="000000"/>
          <w:sz w:val="20"/>
          <w:u w:val="single"/>
        </w:rPr>
        <w:t>Section 409A Limitation</w:t>
      </w:r>
      <w:r>
        <w:rPr>
          <w:rFonts w:ascii="Times New Roman;serif" w:hAnsi="Times New Roman;serif"/>
          <w:b w:val="false"/>
          <w:color w:val="000000"/>
          <w:sz w:val="20"/>
        </w:rPr>
        <w:t>. Notwithstanding anything contained herein to the contrary, any discretionary authority that the Board of Directors, the Committee or the Chief Executive Officer may have pursuant to the Plan shall not be applicable to an Incentive Compensation Award that is subject to Section 409A to the extent such discretionary authority will contravene Section 409A.</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11.    Amendment and Termination of the Plan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applicable laws, rules and regulations, the Board of Directors or the Committee shall have the right at any time to amend, suspend, discontinue or terminate the Plan; provided, however, that no such action shall be effective without approval by the shareowners of Solstice to the extent necessary to comply with applicable laws, including applicable rules of a stock exchange on which the Company’s shares are traded. Moreover, (i) no amendment of the Plan shall operate to annul or diminish, without the consent of the Employee, an Incentive Compensation Award already made hereunder, and (ii) no amendment shall adversely affect an Employee’s entitlement to an Incentive Compensation Award for the Stub Period after a Change in Control.</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12.    Miscellaneous</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20"/>
        </w:rPr>
        <w:t>12.1    </w:t>
      </w:r>
      <w:r>
        <w:rPr>
          <w:rFonts w:ascii="Times New Roman;serif" w:hAnsi="Times New Roman;serif"/>
          <w:b w:val="false"/>
          <w:color w:val="000000"/>
          <w:sz w:val="20"/>
          <w:u w:val="single"/>
        </w:rPr>
        <w:t>Section 409A</w:t>
      </w:r>
      <w:r>
        <w:rPr>
          <w:rFonts w:ascii="Times New Roman;serif" w:hAnsi="Times New Roman;serif"/>
          <w:b w:val="false"/>
          <w:color w:val="000000"/>
          <w:sz w:val="20"/>
        </w:rPr>
        <w:t xml:space="preserve">. The Plan is intended to comply with the requirements of Section 409A and the regulations promulgated thereunder, and the provisions hereof shall be interpreted in a manner that satisfies such requirements, to the extent permitted by law. All Incentive Compensation Awards granted hereunder are intended to be excluded from coverage under Section 409A pursuant to Treasury Regulation §1.409A-1(b)(4)’s “short-term deferral” rule unless, and only to the extent that, a deferral election is made pursuant to Section 8.2. If any provision of the Plan would otherwise frustrate or conflict with this intent or could cause any Incentive Compensation Award to be subject to taxes, interest or penalties under Section 409A, the Board of Directors may amend the Plan to the extent </w:t>
      </w:r>
    </w:p>
    <w:p>
      <w:pPr>
        <w:pStyle w:val="TextBody"/>
        <w:bidi w:val="0"/>
        <w:spacing w:before="0" w:after="0"/>
        <w:jc w:val="both"/>
        <w:rPr/>
      </w:pPr>
      <w:r>
        <w:rPr/>
        <w:drawing>
          <wp:inline distT="0" distB="0" distL="0" distR="0">
            <wp:extent cx="1019175" cy="390525"/>
            <wp:effectExtent l="0" t="0" r="0" b="0"/>
            <wp:docPr id="1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8" descr=""/>
                    <pic:cNvPicPr>
                      <a:picLocks noChangeAspect="1" noChangeArrowheads="1"/>
                    </pic:cNvPicPr>
                  </pic:nvPicPr>
                  <pic:blipFill>
                    <a:blip r:embed="rId36"/>
                    <a:stretch>
                      <a:fillRect/>
                    </a:stretch>
                  </pic:blipFill>
                  <pic:spPr bwMode="auto">
                    <a:xfrm>
                      <a:off x="0" y="0"/>
                      <a:ext cx="1019175" cy="390525"/>
                    </a:xfrm>
                    <a:prstGeom prst="rect">
                      <a:avLst/>
                    </a:prstGeom>
                  </pic:spPr>
                </pic:pic>
              </a:graphicData>
            </a:graphic>
          </wp:inline>
        </w:drawing>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1945"/>
                <wp:effectExtent l="0" t="0" r="0" b="0"/>
                <wp:wrapNone/>
                <wp:docPr id="165" name="Frame1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necessary to (i) comply with Section 409A, (ii) avoid the imposition of taxes, interest and penalties under Section 409A, and/or (iii) maintain, to the maximum extent practicable, the original intent of the applicable provision without violating the provisions of Section 409A; provided however, that such amendment shall not result in additional cost to the Company and provided further that nothing herein shall require the Company to provide any Employee with any gross-up for any tax, interest or penalty incurred by the Employee under Section 409A.</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12.2    </w:t>
      </w:r>
      <w:r>
        <w:rPr>
          <w:rFonts w:ascii="Times New Roman;serif" w:hAnsi="Times New Roman;serif"/>
          <w:b w:val="false"/>
          <w:color w:val="000000"/>
          <w:sz w:val="20"/>
          <w:u w:val="single"/>
        </w:rPr>
        <w:t>Other Compensation Plans</w:t>
      </w:r>
      <w:r>
        <w:rPr>
          <w:rFonts w:ascii="Times New Roman;serif" w:hAnsi="Times New Roman;serif"/>
          <w:b w:val="false"/>
          <w:color w:val="000000"/>
          <w:sz w:val="20"/>
        </w:rPr>
        <w:t>. Nothing contained in the Plan shall prohibit the Company from granting special performance or recognition awards under such conditions, and in such form and manner as it sees fit, to Employees for meritorious service of any nature. In addition, nothing contained in the Plan shall preclude or limit the ability of the Company to establish other incentive compensation plans providing for the payment of incentive compensation to Employees. Notwithstanding the foregoing provisions of this Section 12.2, no Employee shall participate in more than one incentive compensation plan for the same Performance Period unless such participation is communicated to the Employee by the Company in writing.</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12.3    </w:t>
      </w:r>
      <w:r>
        <w:rPr>
          <w:rFonts w:ascii="Times New Roman;serif" w:hAnsi="Times New Roman;serif"/>
          <w:b w:val="false"/>
          <w:color w:val="000000"/>
          <w:sz w:val="20"/>
          <w:u w:val="single"/>
        </w:rPr>
        <w:t>Plan Expenses</w:t>
      </w:r>
      <w:r>
        <w:rPr>
          <w:rFonts w:ascii="Times New Roman;serif" w:hAnsi="Times New Roman;serif"/>
          <w:b w:val="false"/>
          <w:color w:val="000000"/>
          <w:sz w:val="20"/>
        </w:rPr>
        <w:t>. All expenses and costs in connection with the operation of the Plan shall be borne by the Company and no part thereof shall be charged against the Incentive Compensation Awards or to the Employees.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12.4    </w:t>
      </w:r>
      <w:r>
        <w:rPr>
          <w:rFonts w:ascii="Times New Roman;serif" w:hAnsi="Times New Roman;serif"/>
          <w:b w:val="false"/>
          <w:color w:val="000000"/>
          <w:sz w:val="20"/>
          <w:u w:val="single"/>
        </w:rPr>
        <w:t>Withholding</w:t>
      </w:r>
      <w:r>
        <w:rPr>
          <w:rFonts w:ascii="Times New Roman;serif" w:hAnsi="Times New Roman;serif"/>
          <w:b w:val="false"/>
          <w:color w:val="000000"/>
          <w:sz w:val="20"/>
        </w:rPr>
        <w:t>. All Incentive Compensation Awards under the Plan are subject to withholding, where applicable, for federal, state and local taxes.</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12.5    </w:t>
      </w:r>
      <w:r>
        <w:rPr>
          <w:rFonts w:ascii="Times New Roman;serif" w:hAnsi="Times New Roman;serif"/>
          <w:b w:val="false"/>
          <w:color w:val="000000"/>
          <w:sz w:val="20"/>
          <w:u w:val="single"/>
        </w:rPr>
        <w:t>No Limitation on Corporate Actions</w:t>
      </w:r>
      <w:r>
        <w:rPr>
          <w:rFonts w:ascii="Times New Roman;serif" w:hAnsi="Times New Roman;serif"/>
          <w:b w:val="false"/>
          <w:color w:val="000000"/>
          <w:sz w:val="20"/>
        </w:rPr>
        <w:t>. Nothing contained in the Plan shall be construed to prevent the Company from taking or not taking any corporate action, whether or not such action could have an adverse effect on any Incentive Compensation Awards made under the Plan. No Participant, beneficiary or other person shall have any claim against the Company as a result of any such action.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12.6    </w:t>
      </w:r>
      <w:r>
        <w:rPr>
          <w:rFonts w:ascii="Times New Roman;serif" w:hAnsi="Times New Roman;serif"/>
          <w:b w:val="false"/>
          <w:color w:val="000000"/>
          <w:sz w:val="20"/>
          <w:u w:val="single"/>
        </w:rPr>
        <w:t>Unfunded Plan</w:t>
      </w:r>
      <w:r>
        <w:rPr>
          <w:rFonts w:ascii="Times New Roman;serif" w:hAnsi="Times New Roman;serif"/>
          <w:b w:val="false"/>
          <w:color w:val="000000"/>
          <w:sz w:val="20"/>
        </w:rPr>
        <w:t>. The Plan is intended to constitute an unfunded plan for incentive compensation. Prior to the payment of any Incentive Compensation Award, nothing contained herein shall give any participant any rights that are greater than those of a general creditor of the Company.</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12.7    </w:t>
      </w:r>
      <w:r>
        <w:rPr>
          <w:rFonts w:ascii="Times New Roman;serif" w:hAnsi="Times New Roman;serif"/>
          <w:b w:val="false"/>
          <w:color w:val="000000"/>
          <w:sz w:val="20"/>
          <w:u w:val="single"/>
        </w:rPr>
        <w:t>Severability</w:t>
      </w:r>
      <w:r>
        <w:rPr>
          <w:rFonts w:ascii="Times New Roman;serif" w:hAnsi="Times New Roman;serif"/>
          <w:b w:val="false"/>
          <w:color w:val="000000"/>
          <w:sz w:val="20"/>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12.8    </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The Plan and all actions taken thereunder shall be governed by and construed in accordance with the laws of the State of New Jersey.</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12.9    </w:t>
      </w:r>
      <w:r>
        <w:rPr>
          <w:rFonts w:ascii="Times New Roman;serif" w:hAnsi="Times New Roman;serif"/>
          <w:b w:val="false"/>
          <w:color w:val="000000"/>
          <w:sz w:val="20"/>
          <w:u w:val="single"/>
        </w:rPr>
        <w:t>No Rights to Incentive Compensation Awards or Employment</w:t>
      </w:r>
      <w:r>
        <w:rPr>
          <w:rFonts w:ascii="Times New Roman;serif" w:hAnsi="Times New Roman;serif"/>
          <w:b w:val="false"/>
          <w:color w:val="000000"/>
          <w:sz w:val="20"/>
        </w:rPr>
        <w:t>. This Plan is not a contract between the Company and an Employee. No Employee shall have any claim or right to receive Incentive Compensation Awards under the Plan. Nothing in the Plan shall confer upon any employee of the Company any right to continued employment with the Company or interfere in any way with the right of the Company to terminate the employment of any of its employees, in accordance with the laws of the applicable jurisdiction, at any time, with or without cause, including, without limitation, any individual who is then an Executive Employee under the Plan.</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10.28</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1945"/>
                <wp:effectExtent l="0" t="0" r="0" b="0"/>
                <wp:wrapNone/>
                <wp:docPr id="166" name="Frame1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drawing>
          <wp:inline distT="0" distB="0" distL="0" distR="0">
            <wp:extent cx="1619250" cy="504825"/>
            <wp:effectExtent l="0" t="0" r="0" b="0"/>
            <wp:docPr id="16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 descr=""/>
                    <pic:cNvPicPr>
                      <a:picLocks noChangeAspect="1" noChangeArrowheads="1"/>
                    </pic:cNvPicPr>
                  </pic:nvPicPr>
                  <pic:blipFill>
                    <a:blip r:embed="rId37"/>
                    <a:stretch>
                      <a:fillRect/>
                    </a:stretch>
                  </pic:blipFill>
                  <pic:spPr bwMode="auto">
                    <a:xfrm>
                      <a:off x="0" y="0"/>
                      <a:ext cx="1619250" cy="504825"/>
                    </a:xfrm>
                    <a:prstGeom prst="rect">
                      <a:avLst/>
                    </a:prstGeom>
                  </pic:spPr>
                </pic:pic>
              </a:graphicData>
            </a:graphic>
          </wp:inline>
        </w:drawing>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March 28, 2025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Jeff Dormo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Re:    Retention Program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Dear Jeff:</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Honeywell International Inc. announced that it will spin off the Advanced Materials business by December 31, 2025 (hereinafter referred to as “Project Athens”). To help facilitate Project Athens, Honeywell International Inc. or, where applicable, the Honeywell legal entity that is your legal employer (hereinafter “Honeywell” or “Company”), is interested in retaining you. You have therefore been selected to participate in a retention program (the “Program”) as an employee whose expertise and continued contributions are deemed important to the successful completion of Project Athens.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Retention Letter replaces any other retention agreement you may have with Honeywell or a related company, except to the extent otherwise agreed, in writing, by the parties hereto.</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Please note that your entitlement to any Retention Payment under the Program is contingent upon the spinoff or other disposition of the entire Project Athens business (the “Transaction”) no later than April 30,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details of the Program: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Eligibility for Retention Payment</w:t>
      </w:r>
    </w:p>
    <w:p>
      <w:pPr>
        <w:pStyle w:val="TextBody"/>
        <w:bidi w:val="0"/>
        <w:spacing w:lineRule="auto" w:line="240" w:before="0" w:after="0"/>
        <w:jc w:val="both"/>
        <w:rPr/>
      </w:pPr>
      <w:r>
        <w:rPr>
          <w:rFonts w:ascii="Times New Roman;serif" w:hAnsi="Times New Roman;serif"/>
          <w:b w:val="false"/>
          <w:color w:val="000000"/>
          <w:sz w:val="20"/>
        </w:rPr>
        <w:t xml:space="preserve">You will be eligible to receive the Retention Payment set forth below if (i) you sign this Retention Letter;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(ii) you remain actively employed by the Project Athens business at Honeywell and the spun off or successor company in any Transaction (collectively or individually referred to as the “Joint Enterprise,” depending upon whether the determination refers to the pre- or post-spinoff portion (or both) of the Retention Period) for the duration of the Retention Period;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(iii) you maintain or exceed your current performance level and proficiency in the skills required to complete your job activities,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(iv) you conduct yourself in accordance with the Joint Enterprise’s values, policies, and procedures;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(v) you achieve the specific performance and operational objectives described on Exhibit A.</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resign your employment with the Joint Enterprise, abandon your position, retire, transfer to another entity or business unit or position that is not related to Project Athens, or if the Joint Enterprise terminates your employment for “cause” (as defined below) or otherwise before the end of the Retention Period, you shall not be eligible to receive the unpaid Retention Payment unless the parties otherwise agree in writing to the contrary.</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20"/>
        </w:rPr>
        <w:t xml:space="preserve">For purposes of this Retention Letter, “cause” shall be defined as provided in the applicable Joint Enterprise severance pay plan under which you are covered on your termination date. If you are not covered by a Joint Enterprise severance pay plan on your termination date, “cause” shall (1) include any reason for your involuntary separation from the Joint Enterprise under which you are not eligible for notice or severance pay under applicable local law,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(2)(a) be as defined in your employment agreement,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(b) if there is no such definition in your employment agreement, as provided under applicable law,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(c) if cause is neither defined by your employment agreement nor applicable law, mean any of the following, as determined in the sole discretion of the Joint Enterprise’s chief human resources officer (and/or his/her successor or delegee): (i) clear evidence of a significant violation of the Joint Enterprise’s Code of Business Conduct; (ii) a fraud committed against the Joint Enterprise; (iii) the misappropriation, embezzlement or reckless or willful destruction of Joint Enterprise property; (iv) the willful failure to perform, or gross negligence in the performance of duties; (v) the conviction (treating a nolo contendere plea as a conviction) of a felony (whether or not any right to appeal has been or may be exercised); (vi) the knowing falsification of any records or documents of the Joint Enterprise; (vii) a significant breach of any statutory or common law duty of loyalty to the Joint Enterprise; (viii) intentional and improper conduct significantly prejudicial to the business of the Joint Enterprise; (ix) violation of any agreements signed by you relating to, or in connection with, your employment with the Joint Enterprise, and/or any breach of any law or statutory obligations, including, but not limited to, those relating to intellectual property and confidential information and confidential information acquired by you as a result of your employment by the Joint Enterprise; (x) the failure to cooperate fully in a Joint Enterprise investigation or the failure to be truthful when providing evidence or testimony in such investigation; or (xi) the violation of Joint Enterprise rules and policies that, based on a single occurrence, might not meet the </w:t>
      </w: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significance thresholds of (i), (vii) or (viii) above, but that shall, for purposes of such significance thresholds, be deemed to constitute a violation thereof in the event any such violation occurs more than once.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Retention Period</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Retention Letter, the Retention Period is defined as the period commencing on the execution of this Retention Letter and ending on two-month anniversary of the effective date or distribution date of the Transaction. If the successful completion of Project Athens has not occurred by April 30, 2026, the Program and this Retention Letter will be terminated and no Retention Payment will be made.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Retention Payment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satisfy the eligibility criteria set forth herein, you will be eligible to receive a Retention Payment equal to a percentage of your annual base salary in effect as of the date of this Agreement (“Base Salary”), in accordance with the following chart:</w:t>
      </w:r>
    </w:p>
    <w:p>
      <w:pPr>
        <w:pStyle w:val="TextBody"/>
        <w:bidi w:val="0"/>
        <w:spacing w:before="0" w:after="0"/>
        <w:jc w:val="both"/>
        <w:rPr/>
      </w:pPr>
      <w:r>
        <w:rPr/>
      </w:r>
    </w:p>
    <w:tbl>
      <w:tblPr>
        <w:tblW w:w="9928" w:type="dxa"/>
        <w:jc w:val="left"/>
        <w:tblInd w:w="0" w:type="dxa"/>
        <w:tblLayout w:type="fixed"/>
        <w:tblCellMar>
          <w:top w:w="28" w:type="dxa"/>
          <w:left w:w="28" w:type="dxa"/>
          <w:bottom w:w="28" w:type="dxa"/>
          <w:right w:w="28" w:type="dxa"/>
        </w:tblCellMar>
      </w:tblPr>
      <w:tblGrid>
        <w:gridCol w:w="972"/>
        <w:gridCol w:w="855"/>
        <w:gridCol w:w="857"/>
        <w:gridCol w:w="1623"/>
        <w:gridCol w:w="1623"/>
        <w:gridCol w:w="1628"/>
        <w:gridCol w:w="694"/>
        <w:gridCol w:w="694"/>
        <w:gridCol w:w="98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Performance Metric</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Actual Business Performance</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Compared to Quarterly AOP Estimated by Management</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Percentage of Base Salary</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Product Introduction (NPI)</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be calculated by determining the Project Athens actual 2025 quarterly performance for the above metrics and adding together the corresponding percentages of Base Salary based on the above chart. Base Salary percentages for quarterly performance between 75% and 150% shall be interpolated. For the calendar quarter during which the Project Athens spinoff occurs, the Base Salary percentages will be prorated based on the number of days during the calendar quarter prior to the effective date or distribution date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not exceed 45.0% of Base Salary.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is not considered earnings under any earnings-based Joint Enterprise employee benefit plan, including, without limitation, any savings, pension, supplemental deferred compensation or bonus plan. There are no additional benefits associated with the Retention Payment.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Timing of Payment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satisfy and continue to satisfy the eligibility criteria set forth herein and you are employed by the Joint Enterprise on the 2-month anniversary of the effective date or distribution date of the Transaction, you shall receive the Retention Payment as calculated above in cash within thirty (30) days.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Withholding</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be subject to tax and other withholding requirements as mandated by applicable law.</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Interpretation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chief human resources officer of the applicable Joint Enterprise (and/or his/her delegee) has full discretion to interpret the terms of the Program and this Retention Letter and to determine whether you have complied with its terms and fulfilled your obligations hereunder.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Amendment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Retention Letter constitutes the full and complete understanding between you and Honeywell regarding the Program and may only be amended in writing by both parties.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Confidentiality</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understand that this is a confidential agreement, and you may forfeit your right to the Retention Payment if you discuss it with anyone other than your financial advisor, attorney or members of your immediate family, or pursuant to a court proceeding.</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Assignment of Liability</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understand and agree that the liability and responsibility for the Retention Payment hereunder will be assigned to the spun off company of Project Athens or other successor company in the Transaction.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Please indicate your acceptance of the terms and conditions of the Retention Program and this Retention Letter by returning a signed copy thereof to my attention.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4586" w:type="dxa"/>
        <w:jc w:val="left"/>
        <w:tblInd w:w="0" w:type="dxa"/>
        <w:tblLayout w:type="fixed"/>
        <w:tblCellMar>
          <w:top w:w="28" w:type="dxa"/>
          <w:left w:w="28" w:type="dxa"/>
          <w:bottom w:w="28" w:type="dxa"/>
          <w:right w:w="28" w:type="dxa"/>
        </w:tblCellMar>
      </w:tblPr>
      <w:tblGrid>
        <w:gridCol w:w="884"/>
        <w:gridCol w:w="777"/>
        <w:gridCol w:w="784"/>
        <w:gridCol w:w="109"/>
        <w:gridCol w:w="109"/>
        <w:gridCol w:w="109"/>
        <w:gridCol w:w="529"/>
        <w:gridCol w:w="529"/>
        <w:gridCol w:w="756"/>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Ken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April 22, 2025</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Ken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&amp; CEO, 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Honeywell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Read and Accepted: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left"/>
        <w:rPr/>
      </w:pPr>
      <w:r>
        <w:rPr/>
      </w:r>
    </w:p>
    <w:tbl>
      <w:tblPr>
        <w:tblW w:w="3641" w:type="dxa"/>
        <w:jc w:val="left"/>
        <w:tblInd w:w="0" w:type="dxa"/>
        <w:tblLayout w:type="fixed"/>
        <w:tblCellMar>
          <w:top w:w="28" w:type="dxa"/>
          <w:left w:w="28" w:type="dxa"/>
          <w:bottom w:w="28" w:type="dxa"/>
          <w:right w:w="28" w:type="dxa"/>
        </w:tblCellMar>
      </w:tblPr>
      <w:tblGrid>
        <w:gridCol w:w="544"/>
        <w:gridCol w:w="477"/>
        <w:gridCol w:w="479"/>
        <w:gridCol w:w="109"/>
        <w:gridCol w:w="109"/>
        <w:gridCol w:w="109"/>
        <w:gridCol w:w="529"/>
        <w:gridCol w:w="529"/>
        <w:gridCol w:w="756"/>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Jeffrey Dormo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Date: April 14, 2025</w:t>
            </w:r>
          </w:p>
        </w:tc>
      </w:tr>
      <w:tr>
        <w:trPr/>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Jeff Dormo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10.29</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19250" cy="504825"/>
            <wp:effectExtent l="0" t="0" r="0" b="0"/>
            <wp:docPr id="1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0" descr=""/>
                    <pic:cNvPicPr>
                      <a:picLocks noChangeAspect="1" noChangeArrowheads="1"/>
                    </pic:cNvPicPr>
                  </pic:nvPicPr>
                  <pic:blipFill>
                    <a:blip r:embed="rId38"/>
                    <a:stretch>
                      <a:fillRect/>
                    </a:stretch>
                  </pic:blipFill>
                  <pic:spPr bwMode="auto">
                    <a:xfrm>
                      <a:off x="0" y="0"/>
                      <a:ext cx="1619250" cy="504825"/>
                    </a:xfrm>
                    <a:prstGeom prst="rect">
                      <a:avLst/>
                    </a:prstGeom>
                  </pic:spPr>
                </pic:pic>
              </a:graphicData>
            </a:graphic>
          </wp:inline>
        </w:drawing>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March 28, 2025</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Simon Mawson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Re:    Retention Program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Dear Simon: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Honeywell International Inc. announced that it will spin off the Advanced Materials business by December 31, 2025 (hereinafter referred to as “Project Athens”). To help facilitate Project Athens, Honeywell International Inc. or, where applicable, the Honeywell legal entity that is your legal employer (hereinafter “Honeywell” or “Company”), is interested in retaining you. You have therefore been selected to participate in a retention program (the “Program”) as an employee whose expertise and continued contributions are deemed important to the successful completion of Project Athens.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Retention Letter replaces any other retention agreement you may have with Honeywell or a related company, except to the extent otherwise agreed, in writing, by the parties hereto.</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Please note that your entitlement to any Retention Payment under the Program is contingent upon the spinoff or other disposition of the entire Project Athens business (the “Transaction”) no later than April 30,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sets forth the details of the Program: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Eligibility for Retention Payment</w:t>
      </w:r>
    </w:p>
    <w:p>
      <w:pPr>
        <w:pStyle w:val="TextBody"/>
        <w:bidi w:val="0"/>
        <w:spacing w:lineRule="auto" w:line="240" w:before="0" w:after="0"/>
        <w:jc w:val="both"/>
        <w:rPr/>
      </w:pPr>
      <w:r>
        <w:rPr>
          <w:rFonts w:ascii="Times New Roman;serif" w:hAnsi="Times New Roman;serif"/>
          <w:b w:val="false"/>
          <w:color w:val="000000"/>
          <w:sz w:val="20"/>
        </w:rPr>
        <w:t xml:space="preserve">You will be eligible to receive the Retention Payment set forth below if (i) you sign this Retention Letter;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(ii) you remain actively employed by the Project Athens business at Honeywell and the spun off or successor company in any Transaction (collectively or individually referred to as the “Joint Enterprise,” depending upon whether the determination refers to the pre- or post-spinoff portion (or both) of the Retention Period) for the duration of the Retention Period;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(iii) you maintain or exceed your current performance level and proficiency in the skills required to complete your job activities,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 xml:space="preserve">(iv) you conduct yourself in accordance with the Joint Enterprise’s values, policies, and procedures; </w:t>
      </w:r>
      <w:r>
        <w:rPr>
          <w:rFonts w:ascii="Times New Roman;serif" w:hAnsi="Times New Roman;serif"/>
          <w:b w:val="false"/>
          <w:i/>
          <w:color w:val="000000"/>
          <w:sz w:val="20"/>
        </w:rPr>
        <w:t>and</w:t>
      </w:r>
      <w:r>
        <w:rPr>
          <w:color w:val="000000"/>
        </w:rPr>
        <w:t xml:space="preserve"> </w:t>
      </w:r>
      <w:r>
        <w:rPr>
          <w:rFonts w:ascii="Times New Roman;serif" w:hAnsi="Times New Roman;serif"/>
          <w:b w:val="false"/>
          <w:color w:val="000000"/>
          <w:sz w:val="20"/>
        </w:rPr>
        <w:t>(v) you achieve the specific performance and operational objectives described on Exhibit A.</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resign your employment with the Joint Enterprise, abandon your position, retire, transfer to another entity or business unit or position that is not related to Project Athens, or if the Joint Enterprise terminates your employment for “cause” (as defined below) or otherwise before the end of the Retention Period, you shall not be eligible to receive the unpaid Retention Payment unless the parties otherwise agree in writing to the contrary.</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20"/>
        </w:rPr>
        <w:t xml:space="preserve">For purposes of this Retention Letter, “cause” shall be defined as provided in the applicable Joint Enterprise severance pay plan under which you are covered on your termination date. If you are not covered by a Joint Enterprise severance pay plan on your termination date, “cause” shall (1) include any reason for your involuntary separation from the Joint Enterprise under which you are not eligible for notice or severance pay under applicable local law,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(2)(a) be as defined in your employment agreement,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(b) if there is no such definition in your employment agreement, as provided under applicable law, </w:t>
      </w:r>
      <w:r>
        <w:rPr>
          <w:rFonts w:ascii="Times New Roman;serif" w:hAnsi="Times New Roman;serif"/>
          <w:b w:val="false"/>
          <w:i/>
          <w:color w:val="000000"/>
          <w:sz w:val="20"/>
        </w:rPr>
        <w:t>or</w:t>
      </w:r>
      <w:r>
        <w:rPr>
          <w:color w:val="000000"/>
        </w:rPr>
        <w:t xml:space="preserve"> </w:t>
      </w:r>
      <w:r>
        <w:rPr>
          <w:rFonts w:ascii="Times New Roman;serif" w:hAnsi="Times New Roman;serif"/>
          <w:b w:val="false"/>
          <w:color w:val="000000"/>
          <w:sz w:val="20"/>
        </w:rPr>
        <w:t xml:space="preserve">(c) if cause is neither defined by your employment agreement nor applicable law, mean any of the following, as determined in the sole discretion of the Joint Enterprise’s chief human resources officer (and/or his/her successor or delegee): (i) clear evidence of a significant violation of the Joint Enterprise’s Code of Business Conduct; (ii) a fraud committed against the Joint Enterprise; (iii) the misappropriation, embezzlement or reckless or willful destruction of Joint Enterprise property; (iv) the willful failure to perform, or gross negligence in the performance of duties; (v) the conviction (treating a nolo contendere plea as a conviction) of a felony (whether or not any right to appeal has been or may be exercised); (vi) the knowing falsification of any records or documents of the Joint Enterprise; (vii) a significant breach of any statutory or common law duty of loyalty to the Joint Enterprise; (viii) intentional and improper conduct significantly prejudicial to the business of the Joint Enterprise; (ix) violation of any agreements signed by you relating to, or in connection with, your employment with the Joint Enterprise, and/or any breach of any law or statutory obligations, including, but not limited to, those relating to intellectual property and confidential information and confidential information acquired by you as a result of your employment by the Joint Enterprise; (x) the failure to cooperate fully in a Joint Enterprise investigation or the failure to be truthful when providing evidence or testimony in such investigation; or (xi) the violation of Joint Enterprise rules and policies that, based on a single occurrence, might not meet the </w:t>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significance thresholds of (i), (vii) or (viii) above, but that shall, for purposes of such significance thresholds, be deemed to constitute a violation thereof in the event any such violation occurs more than once.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Retention Period</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Retention Letter, the Retention Period is defined as the period commencing on the execution of this Retention Letter and ending on two-month anniversary of the effective date or distribution date of the Transaction. If the successful completion of Project Athens has not occurred by April 30, 2026, the Program and this Retention Letter will be terminated and no Retention Payment will be made.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Retention Payment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satisfy the eligibility criteria set forth herein, you will be eligible to receive a Retention Payment equal to a percentage of your annual base salary in effect as of the date of this Agreement (“Base Salary”), in accordance with the following chart:</w:t>
      </w:r>
    </w:p>
    <w:p>
      <w:pPr>
        <w:pStyle w:val="TextBody"/>
        <w:bidi w:val="0"/>
        <w:spacing w:before="0" w:after="0"/>
        <w:jc w:val="both"/>
        <w:rPr/>
      </w:pPr>
      <w:r>
        <w:rPr/>
      </w:r>
    </w:p>
    <w:tbl>
      <w:tblPr>
        <w:tblW w:w="9928" w:type="dxa"/>
        <w:jc w:val="left"/>
        <w:tblInd w:w="0" w:type="dxa"/>
        <w:tblLayout w:type="fixed"/>
        <w:tblCellMar>
          <w:top w:w="28" w:type="dxa"/>
          <w:left w:w="28" w:type="dxa"/>
          <w:bottom w:w="28" w:type="dxa"/>
          <w:right w:w="28" w:type="dxa"/>
        </w:tblCellMar>
      </w:tblPr>
      <w:tblGrid>
        <w:gridCol w:w="972"/>
        <w:gridCol w:w="855"/>
        <w:gridCol w:w="857"/>
        <w:gridCol w:w="1623"/>
        <w:gridCol w:w="1623"/>
        <w:gridCol w:w="1628"/>
        <w:gridCol w:w="694"/>
        <w:gridCol w:w="694"/>
        <w:gridCol w:w="98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Performance Metric</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Actual Business Performance</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Compared to Quarterly AOP Estimated by Management</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Percentage of Base Salary</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Product Introduction (NPI)</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6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2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c>
        <w:tc>
          <w:tcPr>
            <w:tcW w:w="23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1.95%</w:t>
            </w:r>
          </w:p>
        </w:tc>
      </w:tr>
      <w:tr>
        <w:trPr/>
        <w:tc>
          <w:tcPr>
            <w:tcW w:w="268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Below 75%</w:t>
            </w:r>
          </w:p>
        </w:tc>
        <w:tc>
          <w:tcPr>
            <w:tcW w:w="23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be calculated by determining the Project Athens actual 2025 quarterly performance for the above metrics and adding together the corresponding percentages of Base Salary based on the above chart. Base Salary percentages for quarterly performance between 75% and 150% shall be interpolated. For the calendar quarter during which the Project Athens spinoff occurs, the Base Salary percentages will be prorated based on the number of days during the calendar quarter prior to the effective date or distribution date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not exceed 45.0% of Base Salary.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is not considered earnings under any earnings-based Joint Enterprise employee benefit plan, including, without limitation, any savings, pension, supplemental deferred compensation or bonus plan. There are no additional benefits associated with the Retention Payment.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Timing of Payment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satisfy and continue to satisfy the eligibility criteria set forth herein and you are employed by the Joint Enterprise on the 2-month anniversary of the effective date or distribution date of the Transaction, you shall receive the Retention Payment as calculated above in cash within thirty (30) days.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Withholding</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Retention Payment shall be subject to tax and other withholding requirements as mandated by applicable law.</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Interpretation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chief human resources officer of the applicable Joint Enterprise (and/or his/her delegee) has full discretion to interpret the terms of the Program and this Retention Letter and to determine whether you have complied with its terms and fulfilled your obligations hereunder.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Amendment</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Retention Letter constitutes the full and complete understanding between you and Honeywell regarding the Program and may only be amended in writing by both parties.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Confidentiality</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understand that this is a confidential agreement, and you may forfeit your right to the Retention Payment if you discuss it with anyone other than your financial advisor, attorney or members of your immediate family, or pursuant to a court proceeding.</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Assignment of Liability</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understand and agree that the liability and responsibility for the Retention Payment hereunder will be assigned to the spun off company of Project Athens or other successor company in the Transaction.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Please indicate your acceptance of the terms and conditions of the Retention Program and this Retention Letter by returning a signed copy thereof to my attention.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tbl>
      <w:tblPr>
        <w:tblW w:w="4586" w:type="dxa"/>
        <w:jc w:val="left"/>
        <w:tblInd w:w="0" w:type="dxa"/>
        <w:tblLayout w:type="fixed"/>
        <w:tblCellMar>
          <w:top w:w="28" w:type="dxa"/>
          <w:left w:w="28" w:type="dxa"/>
          <w:bottom w:w="28" w:type="dxa"/>
          <w:right w:w="28" w:type="dxa"/>
        </w:tblCellMar>
      </w:tblPr>
      <w:tblGrid>
        <w:gridCol w:w="884"/>
        <w:gridCol w:w="777"/>
        <w:gridCol w:w="784"/>
        <w:gridCol w:w="109"/>
        <w:gridCol w:w="109"/>
        <w:gridCol w:w="109"/>
        <w:gridCol w:w="529"/>
        <w:gridCol w:w="529"/>
        <w:gridCol w:w="756"/>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Ken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April 22, 2025</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Ken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&amp; CEO, 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Honeywell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Read and Accepted:</w:t>
      </w:r>
    </w:p>
    <w:p>
      <w:pPr>
        <w:pStyle w:val="TextBody"/>
        <w:bidi w:val="0"/>
        <w:spacing w:before="0" w:after="0"/>
        <w:jc w:val="left"/>
        <w:rPr/>
      </w:pPr>
      <w:r>
        <w:rPr/>
      </w:r>
    </w:p>
    <w:p>
      <w:pPr>
        <w:pStyle w:val="TextBody"/>
        <w:bidi w:val="0"/>
        <w:spacing w:before="4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jc w:val="left"/>
        <w:rPr/>
      </w:pPr>
      <w:r>
        <w:rPr/>
      </w:r>
    </w:p>
    <w:tbl>
      <w:tblPr>
        <w:tblW w:w="3760"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529"/>
        <w:gridCol w:w="529"/>
        <w:gridCol w:w="756"/>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Simon Mawson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April 14, 2025</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Simon Mawson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73" w:before="15" w:after="283"/>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73" w:before="240" w:after="283"/>
        <w:jc w:val="center"/>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lineRule="atLeast" w:line="272" w:before="246" w:after="283"/>
        <w:jc w:val="both"/>
        <w:rPr/>
      </w:pPr>
      <w:r>
        <w:rPr>
          <w:rFonts w:ascii="Times New Roman;serif" w:hAnsi="Times New Roman;serif"/>
          <w:b w:val="false"/>
          <w:color w:val="000000"/>
          <w:sz w:val="20"/>
        </w:rPr>
        <w:t>I.</w:t>
      </w:r>
      <w:r>
        <w:rPr>
          <w:rFonts w:ascii="Times New Roman;serif" w:hAnsi="Times New Roman;serif"/>
          <w:b w:val="false"/>
          <w:color w:val="000000"/>
          <w:sz w:val="20"/>
        </w:rPr>
        <w:t>PURPOSE    1</w:t>
      </w:r>
    </w:p>
    <w:p>
      <w:pPr>
        <w:pStyle w:val="TextBody"/>
        <w:bidi w:val="0"/>
        <w:spacing w:lineRule="atLeast" w:line="272" w:before="121" w:after="283"/>
        <w:jc w:val="both"/>
        <w:rPr/>
      </w:pPr>
      <w:r>
        <w:rPr>
          <w:rFonts w:ascii="Times New Roman;serif" w:hAnsi="Times New Roman;serif"/>
          <w:b w:val="false"/>
          <w:color w:val="000000"/>
          <w:sz w:val="20"/>
        </w:rPr>
        <w:t>II.</w:t>
      </w:r>
      <w:r>
        <w:rPr>
          <w:rFonts w:ascii="Times New Roman;serif" w:hAnsi="Times New Roman;serif"/>
          <w:b w:val="false"/>
          <w:color w:val="000000"/>
          <w:sz w:val="20"/>
        </w:rPr>
        <w:t>SCOPE AND APPLICABILITY    2</w:t>
      </w:r>
    </w:p>
    <w:p>
      <w:pPr>
        <w:pStyle w:val="TextBody"/>
        <w:bidi w:val="0"/>
        <w:spacing w:lineRule="atLeast" w:line="272" w:before="127" w:after="283"/>
        <w:jc w:val="both"/>
        <w:rPr/>
      </w:pPr>
      <w:r>
        <w:rPr>
          <w:rFonts w:ascii="Times New Roman;serif" w:hAnsi="Times New Roman;serif"/>
          <w:b w:val="false"/>
          <w:color w:val="000000"/>
          <w:sz w:val="20"/>
        </w:rPr>
        <w:t>III.</w:t>
      </w:r>
      <w:r>
        <w:rPr>
          <w:rFonts w:ascii="Times New Roman;serif" w:hAnsi="Times New Roman;serif"/>
          <w:b w:val="false"/>
          <w:color w:val="000000"/>
          <w:sz w:val="20"/>
        </w:rPr>
        <w:t>POLICY    2</w:t>
      </w:r>
    </w:p>
    <w:p>
      <w:pPr>
        <w:pStyle w:val="TextBody"/>
        <w:bidi w:val="0"/>
        <w:spacing w:lineRule="atLeast" w:line="272" w:before="116" w:after="283"/>
        <w:jc w:val="both"/>
        <w:rPr/>
      </w:pPr>
      <w:r>
        <w:rPr>
          <w:rFonts w:ascii="Times New Roman;serif" w:hAnsi="Times New Roman;serif"/>
          <w:b w:val="false"/>
          <w:color w:val="000000"/>
          <w:sz w:val="20"/>
        </w:rPr>
        <w:t>IV.</w:t>
      </w:r>
      <w:r>
        <w:rPr>
          <w:rFonts w:ascii="Times New Roman;serif" w:hAnsi="Times New Roman;serif"/>
          <w:b w:val="false"/>
          <w:color w:val="000000"/>
          <w:sz w:val="20"/>
        </w:rPr>
        <w:t>ENGAGING IN SECURITIES TRANSACTIONS BY DIRECTORS, OFFICERS</w:t>
      </w:r>
    </w:p>
    <w:p>
      <w:pPr>
        <w:pStyle w:val="TextBody"/>
        <w:bidi w:val="0"/>
        <w:spacing w:lineRule="atLeast" w:line="272" w:before="12" w:after="283"/>
        <w:jc w:val="both"/>
        <w:rPr>
          <w:rFonts w:ascii="Times New Roman;serif" w:hAnsi="Times New Roman;serif"/>
          <w:b w:val="false"/>
          <w:color w:val="000000"/>
          <w:sz w:val="20"/>
        </w:rPr>
      </w:pPr>
      <w:r>
        <w:rPr>
          <w:rFonts w:ascii="Times New Roman;serif" w:hAnsi="Times New Roman;serif"/>
          <w:b w:val="false"/>
          <w:color w:val="000000"/>
          <w:sz w:val="20"/>
        </w:rPr>
        <w:t>AND OTHER DESIGNATED INSIDERS    4</w:t>
      </w:r>
    </w:p>
    <w:p>
      <w:pPr>
        <w:pStyle w:val="TextBody"/>
        <w:bidi w:val="0"/>
        <w:spacing w:lineRule="atLeast" w:line="272" w:before="116" w:after="283"/>
        <w:jc w:val="both"/>
        <w:rPr/>
      </w:pPr>
      <w:r>
        <w:rPr>
          <w:rFonts w:ascii="Times New Roman;serif" w:hAnsi="Times New Roman;serif"/>
          <w:b w:val="false"/>
          <w:color w:val="000000"/>
          <w:sz w:val="20"/>
        </w:rPr>
        <w:t>V.</w:t>
      </w:r>
      <w:r>
        <w:rPr>
          <w:rFonts w:ascii="Times New Roman;serif" w:hAnsi="Times New Roman;serif"/>
          <w:b w:val="false"/>
          <w:color w:val="000000"/>
          <w:sz w:val="20"/>
        </w:rPr>
        <w:t>ENGAGING IN SECURITIES TRANSACTIONS BY GENERAL EMPLOYEE</w:t>
      </w:r>
    </w:p>
    <w:p>
      <w:pPr>
        <w:pStyle w:val="TextBody"/>
        <w:bidi w:val="0"/>
        <w:spacing w:lineRule="atLeast" w:line="272" w:before="12" w:after="283"/>
        <w:jc w:val="both"/>
        <w:rPr>
          <w:rFonts w:ascii="Times New Roman;serif" w:hAnsi="Times New Roman;serif"/>
          <w:b w:val="false"/>
          <w:color w:val="000000"/>
          <w:sz w:val="20"/>
        </w:rPr>
      </w:pPr>
      <w:r>
        <w:rPr>
          <w:rFonts w:ascii="Times New Roman;serif" w:hAnsi="Times New Roman;serif"/>
          <w:b w:val="false"/>
          <w:color w:val="000000"/>
          <w:sz w:val="20"/>
        </w:rPr>
        <w:t>POPULATION AND OTHERS    6</w:t>
      </w:r>
    </w:p>
    <w:p>
      <w:pPr>
        <w:pStyle w:val="TextBody"/>
        <w:bidi w:val="0"/>
        <w:spacing w:lineRule="atLeast" w:line="272" w:before="121" w:after="283"/>
        <w:jc w:val="both"/>
        <w:rPr/>
      </w:pPr>
      <w:r>
        <w:rPr>
          <w:rFonts w:ascii="Times New Roman;serif" w:hAnsi="Times New Roman;serif"/>
          <w:b w:val="false"/>
          <w:color w:val="000000"/>
          <w:sz w:val="20"/>
        </w:rPr>
        <w:t>VI.</w:t>
      </w:r>
      <w:r>
        <w:rPr>
          <w:rFonts w:ascii="Times New Roman;serif" w:hAnsi="Times New Roman;serif"/>
          <w:b w:val="false"/>
          <w:color w:val="000000"/>
          <w:sz w:val="20"/>
        </w:rPr>
        <w:t>ADMINISTRATION OF THE POLICY    8</w:t>
      </w:r>
    </w:p>
    <w:p>
      <w:pPr>
        <w:pStyle w:val="TextBody"/>
        <w:bidi w:val="0"/>
        <w:spacing w:lineRule="atLeast" w:line="272" w:before="127" w:after="283"/>
        <w:jc w:val="both"/>
        <w:rPr/>
      </w:pPr>
      <w:r>
        <w:rPr>
          <w:rFonts w:ascii="Times New Roman;serif" w:hAnsi="Times New Roman;serif"/>
          <w:b w:val="false"/>
          <w:color w:val="000000"/>
          <w:sz w:val="20"/>
        </w:rPr>
        <w:t>VII.</w:t>
      </w:r>
      <w:r>
        <w:rPr>
          <w:rFonts w:ascii="Times New Roman;serif" w:hAnsi="Times New Roman;serif"/>
          <w:b w:val="false"/>
          <w:color w:val="000000"/>
          <w:sz w:val="20"/>
        </w:rPr>
        <w:t>INFORMATION AND RESOURCES    9</w:t>
      </w:r>
    </w:p>
    <w:p>
      <w:pPr>
        <w:pStyle w:val="TextBody"/>
        <w:bidi w:val="0"/>
        <w:spacing w:lineRule="atLeast" w:line="272" w:before="121" w:after="283"/>
        <w:jc w:val="both"/>
        <w:rPr>
          <w:rFonts w:ascii="Times New Roman;serif" w:hAnsi="Times New Roman;serif"/>
          <w:b w:val="false"/>
          <w:color w:val="000000"/>
          <w:sz w:val="20"/>
        </w:rPr>
      </w:pPr>
      <w:r>
        <w:rPr>
          <w:rFonts w:ascii="Times New Roman;serif" w:hAnsi="Times New Roman;serif"/>
          <w:b w:val="false"/>
          <w:color w:val="000000"/>
          <w:sz w:val="20"/>
        </w:rPr>
        <w:t>ATTACHMENT A    10</w:t>
      </w:r>
    </w:p>
    <w:p>
      <w:pPr>
        <w:pStyle w:val="TextBody"/>
        <w:bidi w:val="0"/>
        <w:spacing w:lineRule="atLeast" w:line="272" w:before="127" w:after="283"/>
        <w:jc w:val="both"/>
        <w:rPr>
          <w:rFonts w:ascii="Times New Roman;serif" w:hAnsi="Times New Roman;serif"/>
          <w:b w:val="false"/>
          <w:color w:val="000000"/>
          <w:sz w:val="20"/>
        </w:rPr>
      </w:pPr>
      <w:r>
        <w:rPr>
          <w:rFonts w:ascii="Times New Roman;serif" w:hAnsi="Times New Roman;serif"/>
          <w:b w:val="false"/>
          <w:color w:val="000000"/>
          <w:sz w:val="20"/>
        </w:rPr>
        <w:t>ATTACHMENT B    11</w:t>
      </w:r>
    </w:p>
    <w:p>
      <w:pPr>
        <w:pStyle w:val="TextBody"/>
        <w:bidi w:val="0"/>
        <w:spacing w:before="127" w:after="283"/>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I.    PURPOSE </w:t>
      </w:r>
    </w:p>
    <w:p>
      <w:pPr>
        <w:pStyle w:val="TextBody"/>
        <w:bidi w:val="0"/>
        <w:spacing w:lineRule="auto" w:line="288" w:before="0" w:after="160"/>
        <w:ind w:left="0" w:right="0" w:firstLine="720"/>
        <w:jc w:val="both"/>
        <w:rPr/>
      </w:pPr>
      <w:r>
        <w:rPr>
          <w:rFonts w:ascii="Times New Roman;serif" w:hAnsi="Times New Roman;serif"/>
          <w:b w:val="false"/>
          <w:color w:val="000000"/>
          <w:sz w:val="20"/>
        </w:rPr>
        <w:t>It is the responsibility of each director, officer and employee of Solstice Advanced Materials Inc., its operating units, direct and indirect subsidiaries, and joint ventures where it has a controlling interest (the “</w:t>
      </w:r>
      <w:r>
        <w:rPr>
          <w:rFonts w:ascii="Times New Roman;serif" w:hAnsi="Times New Roman;serif"/>
          <w:b w:val="false"/>
          <w:color w:val="000000"/>
          <w:sz w:val="20"/>
          <w:u w:val="single"/>
        </w:rPr>
        <w:t>Company</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Solstice Advanced Materials</w:t>
      </w:r>
      <w:r>
        <w:rPr>
          <w:color w:val="000000"/>
        </w:rPr>
        <w:t>”</w:t>
      </w:r>
      <w:r>
        <w:rPr>
          <w:rFonts w:ascii="Times New Roman;serif" w:hAnsi="Times New Roman;serif"/>
          <w:b w:val="false"/>
          <w:color w:val="000000"/>
          <w:sz w:val="20"/>
        </w:rPr>
        <w:t>) and any other person designated as subject to this Insider Trading Policy (this “</w:t>
      </w:r>
      <w:r>
        <w:rPr>
          <w:rFonts w:ascii="Times New Roman;serif" w:hAnsi="Times New Roman;serif"/>
          <w:b w:val="false"/>
          <w:color w:val="000000"/>
          <w:sz w:val="20"/>
          <w:u w:val="single"/>
        </w:rPr>
        <w:t>Policy</w:t>
      </w:r>
      <w:r>
        <w:rPr>
          <w:color w:val="000000"/>
        </w:rPr>
        <w:t>”</w:t>
      </w:r>
      <w:r>
        <w:rPr>
          <w:rFonts w:ascii="Times New Roman;serif" w:hAnsi="Times New Roman;serif"/>
          <w:b w:val="false"/>
          <w:color w:val="000000"/>
          <w:sz w:val="20"/>
        </w:rPr>
        <w:t>) who has access to material, nonpublic information about the Company (“</w:t>
      </w:r>
      <w:r>
        <w:rPr>
          <w:rFonts w:ascii="Times New Roman;serif" w:hAnsi="Times New Roman;serif"/>
          <w:b w:val="false"/>
          <w:color w:val="000000"/>
          <w:sz w:val="20"/>
          <w:u w:val="single"/>
        </w:rPr>
        <w:t>Insiders</w:t>
      </w:r>
      <w:r>
        <w:rPr>
          <w:color w:val="000000"/>
        </w:rPr>
        <w:t>”</w:t>
      </w:r>
      <w:r>
        <w:rPr>
          <w:rFonts w:ascii="Times New Roman;serif" w:hAnsi="Times New Roman;serif"/>
          <w:b w:val="false"/>
          <w:color w:val="000000"/>
          <w:sz w:val="20"/>
        </w:rPr>
        <w:t>) to comply with the letter and spirit of the securities laws as they apply to transactions in the Company’s securities.</w:t>
      </w:r>
    </w:p>
    <w:p>
      <w:pPr>
        <w:pStyle w:val="TextBody"/>
        <w:bidi w:val="0"/>
        <w:spacing w:lineRule="auto" w:line="288" w:before="0" w:after="160"/>
        <w:ind w:left="0" w:right="0" w:firstLine="720"/>
        <w:jc w:val="both"/>
        <w:rPr/>
      </w:pPr>
      <w:r>
        <w:rPr>
          <w:rFonts w:ascii="Times New Roman;serif" w:hAnsi="Times New Roman;serif"/>
          <w:b w:val="false"/>
          <w:color w:val="000000"/>
          <w:sz w:val="20"/>
        </w:rPr>
        <w:t>Engaging in transactions in the Company’s securities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the basis of material nonpublic information is prohibited, as is transmitting such information to any other person (a “</w:t>
      </w:r>
      <w:r>
        <w:rPr>
          <w:rFonts w:ascii="Times New Roman;serif" w:hAnsi="Times New Roman;serif"/>
          <w:b w:val="false"/>
          <w:color w:val="000000"/>
          <w:sz w:val="20"/>
          <w:u w:val="single"/>
        </w:rPr>
        <w:t>Tippee</w:t>
      </w:r>
      <w:r>
        <w:rPr>
          <w:color w:val="000000"/>
        </w:rPr>
        <w:t>”</w:t>
      </w:r>
      <w:r>
        <w:rPr>
          <w:rFonts w:ascii="Times New Roman;serif" w:hAnsi="Times New Roman;serif"/>
          <w:b w:val="false"/>
          <w:color w:val="000000"/>
          <w:sz w:val="20"/>
        </w:rPr>
        <w:t>) who may engage in transactions based on the information or assist anyone in such an activity. Accordingly, any such transaction by an Insider, and the transmission of material nonpublic information to others who do not have a legitimate business reason to know, are prohibited and may result in disciplinary action, up to and including termination of employment, as well as the imposition of civil and criminal sanctions.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also unlawful to engage in transactions in the securities of a third-party company while being aware of material nonpublic information about that company. For example, a Solstice Advanced Materials employee with nonpublic information about a potential acquisition by the Company should treat that information as confidential and not engage in transactions in the securities of the acquisition candidate or transmit that information to others who may engage in such transactions. It is the policy of the Company that no director, officer or other employee of the Company (or any other person designated as subject to this Policy) who, in the course of working for the Company, learns of material nonpublic information about a company (1) with which the Company does business, such as the Company’s distributors, vendors, customers and suppliers, or (2) that is involved in a potential transaction or business relationship with Company, may engage in transactions in that company’s securities until the information becomes public or is no longer material.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the responsibility of each director, officer and employee of the Company to avoid trading on the basis of material nonpublic information whether expressly covered by this policy or not.</w:t>
      </w:r>
    </w:p>
    <w:p>
      <w:pPr>
        <w:pStyle w:val="TextBody"/>
        <w:bidi w:val="0"/>
        <w:spacing w:lineRule="auto" w:line="288"/>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used herein, “securities” of the Company include generally any stock (including restricted stock), debt, options or other derivative securities issued by the Company. For purposes of this Policy, debt securities (for example, revenue bonds) issued by others to finance facilities of the Company and for the payment of which the Company is responsible, and debt securities issued by subsidiaries of the Company and for which the Company has guaranteed payment, are also deemed securities of the Company.</w:t>
      </w:r>
    </w:p>
    <w:p>
      <w:pPr>
        <w:pStyle w:val="TextBody"/>
        <w:bidi w:val="0"/>
        <w:spacing w:before="0" w:after="16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II.    SCOPE AND APPLICABILITY</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LOCATION(S): All</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BUSINESS UNIT(S): All</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DISTINCTIONS: All employees of Solstice Advanced Materials Inc., its operating units, direct and indirect subsidiaries and joint ventures where Solstice Advanced Materials has a controlling interest and any other person designated as subject to this Insider Trading Policy who has access to material, nonpublic information about Solstice Advanced Materials.</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III.    POLICY</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Definition of Insider</w:t>
      </w:r>
    </w:p>
    <w:p>
      <w:pPr>
        <w:pStyle w:val="TextBody"/>
        <w:bidi w:val="0"/>
        <w:spacing w:lineRule="auto" w:line="288" w:before="0" w:after="160"/>
        <w:ind w:left="0" w:right="0" w:firstLine="720"/>
        <w:jc w:val="both"/>
        <w:rPr/>
      </w:pPr>
      <w:r>
        <w:rPr>
          <w:rFonts w:ascii="Times New Roman;serif" w:hAnsi="Times New Roman;serif"/>
          <w:b w:val="false"/>
          <w:color w:val="000000"/>
          <w:sz w:val="20"/>
        </w:rPr>
        <w:t>For purposes of this Policy, an “</w:t>
      </w:r>
      <w:r>
        <w:rPr>
          <w:rFonts w:ascii="Times New Roman;serif" w:hAnsi="Times New Roman;serif"/>
          <w:b w:val="false"/>
          <w:color w:val="000000"/>
          <w:sz w:val="20"/>
          <w:u w:val="single"/>
        </w:rPr>
        <w:t>Insider</w:t>
      </w:r>
      <w:r>
        <w:rPr>
          <w:color w:val="000000"/>
        </w:rPr>
        <w:t xml:space="preserve">” </w:t>
      </w:r>
      <w:r>
        <w:rPr>
          <w:rFonts w:ascii="Times New Roman;serif" w:hAnsi="Times New Roman;serif"/>
          <w:b w:val="false"/>
          <w:color w:val="000000"/>
          <w:sz w:val="20"/>
        </w:rPr>
        <w:t>is any person who has access to material inside information that is not generally available to the public. Certain individuals, because of their positions with the Company, are deemed to be “</w:t>
      </w:r>
      <w:r>
        <w:rPr>
          <w:rFonts w:ascii="Times New Roman;serif" w:hAnsi="Times New Roman;serif"/>
          <w:b w:val="false"/>
          <w:color w:val="000000"/>
          <w:sz w:val="20"/>
          <w:u w:val="single"/>
        </w:rPr>
        <w:t>Designated Insiders</w:t>
      </w:r>
      <w:r>
        <w:rPr>
          <w:rFonts w:ascii="Times New Roman;serif" w:hAnsi="Times New Roman;serif"/>
          <w:b w:val="false"/>
          <w:color w:val="000000"/>
          <w:sz w:val="20"/>
        </w:rPr>
        <w:t>.” All directors, individuals designated as an “officer” by the Board of Directors (each an “</w:t>
      </w:r>
      <w:r>
        <w:rPr>
          <w:rFonts w:ascii="Times New Roman;serif" w:hAnsi="Times New Roman;serif"/>
          <w:b w:val="false"/>
          <w:color w:val="000000"/>
          <w:sz w:val="20"/>
          <w:u w:val="single"/>
        </w:rPr>
        <w:t>Officer</w:t>
      </w:r>
      <w:r>
        <w:rPr>
          <w:color w:val="000000"/>
        </w:rPr>
        <w:t>”</w:t>
      </w:r>
      <w:r>
        <w:rPr>
          <w:rFonts w:ascii="Times New Roman;serif" w:hAnsi="Times New Roman;serif"/>
          <w:b w:val="false"/>
          <w:color w:val="000000"/>
          <w:sz w:val="20"/>
        </w:rPr>
        <w:t>), and other employees identified by the Corporate Secretary due to their involvement in certain financial forecasting or other activities that routinely provide access to material inside information shall be considered “</w:t>
      </w:r>
      <w:r>
        <w:rPr>
          <w:rFonts w:ascii="Times New Roman;serif" w:hAnsi="Times New Roman;serif"/>
          <w:b w:val="false"/>
          <w:color w:val="000000"/>
          <w:sz w:val="20"/>
          <w:u w:val="single"/>
        </w:rPr>
        <w:t>Designated Insiders</w:t>
      </w:r>
      <w:r>
        <w:rPr>
          <w:rFonts w:ascii="Times New Roman;serif" w:hAnsi="Times New Roman;serif"/>
          <w:b w:val="false"/>
          <w:color w:val="000000"/>
          <w:sz w:val="20"/>
        </w:rPr>
        <w:t>.” Outside advisers (e.g., lawyers, bankers, accountants, and consultants) and any person to whom such information is disclosed while it is still inside information (including former directors, Officers and other key employees), as well as members of the immediate families of all Insiders, may also be deemed to be Insiders.</w:t>
      </w:r>
    </w:p>
    <w:p>
      <w:pPr>
        <w:pStyle w:val="TextBody"/>
        <w:bidi w:val="0"/>
        <w:spacing w:lineRule="auto" w:line="288" w:before="0" w:after="160"/>
        <w:ind w:left="0" w:right="0" w:firstLine="720"/>
        <w:jc w:val="both"/>
        <w:rPr/>
      </w:pPr>
      <w:r>
        <w:rPr>
          <w:rFonts w:ascii="Times New Roman;serif" w:hAnsi="Times New Roman;serif"/>
          <w:b/>
          <w:color w:val="000000"/>
          <w:sz w:val="20"/>
        </w:rPr>
        <w:t>Transactions by Family Members and Others.</w:t>
      </w:r>
      <w:r>
        <w:rPr>
          <w:color w:val="000000"/>
        </w:rPr>
        <w:t xml:space="preserve"> </w:t>
      </w:r>
      <w:r>
        <w:rPr>
          <w:rFonts w:ascii="Times New Roman;serif" w:hAnsi="Times New Roman;serif"/>
          <w:b w:val="false"/>
          <w:color w:val="000000"/>
          <w:sz w:val="20"/>
        </w:rPr>
        <w:t>This Policy applies to the family members who reside with an Insider (including a spouse, a child, a child away at college, stepchildren, grandchildren, parents, stepparents, grandparents, siblings and in-laws), anyone else who lives in the Insider’s household, and any family members who do not live in the Insider’s household but whose transactions in the Company’s securities are directed by the Insider or are subject to the Insider’s influence or control, such as parents or children who consult with the Insider before they engage in transactions in the Company’s securities (collectively referred to as “</w:t>
      </w:r>
      <w:r>
        <w:rPr>
          <w:rFonts w:ascii="Times New Roman;serif" w:hAnsi="Times New Roman;serif"/>
          <w:b w:val="false"/>
          <w:color w:val="000000"/>
          <w:sz w:val="20"/>
          <w:u w:val="single"/>
        </w:rPr>
        <w:t>Family Members</w:t>
      </w:r>
      <w:r>
        <w:rPr>
          <w:color w:val="000000"/>
        </w:rPr>
        <w:t>”</w:t>
      </w:r>
      <w:r>
        <w:rPr>
          <w:rFonts w:ascii="Times New Roman;serif" w:hAnsi="Times New Roman;serif"/>
          <w:b w:val="false"/>
          <w:color w:val="000000"/>
          <w:sz w:val="20"/>
        </w:rPr>
        <w:t>). Insiders are responsible for the transactions of these other persons and should treat all such transactions for the purposes of this Policy and applicable securities laws as if the transactions were for the Insider’s own account. This Policy does not, however, apply to personal securities transactions of Family Members where the purchase or sale decision is made by a third party not controlled by, influenced by or related to the Insider or the Insider’s Family Members.</w:t>
      </w:r>
    </w:p>
    <w:p>
      <w:pPr>
        <w:pStyle w:val="TextBody"/>
        <w:bidi w:val="0"/>
        <w:spacing w:lineRule="auto" w:line="288" w:before="0" w:after="160"/>
        <w:ind w:left="0" w:right="0" w:firstLine="720"/>
        <w:jc w:val="both"/>
        <w:rPr/>
      </w:pPr>
      <w:r>
        <w:rPr>
          <w:rFonts w:ascii="Times New Roman;serif" w:hAnsi="Times New Roman;serif"/>
          <w:b/>
          <w:color w:val="000000"/>
          <w:sz w:val="20"/>
        </w:rPr>
        <w:t>Transactions by Entities that an Insider Influences or Controls.</w:t>
      </w:r>
      <w:r>
        <w:rPr>
          <w:color w:val="000000"/>
        </w:rPr>
        <w:t xml:space="preserve"> </w:t>
      </w:r>
      <w:r>
        <w:rPr>
          <w:rFonts w:ascii="Times New Roman;serif" w:hAnsi="Times New Roman;serif"/>
          <w:b w:val="false"/>
          <w:color w:val="000000"/>
          <w:sz w:val="20"/>
        </w:rPr>
        <w:t>This Policy applies to any entities that an Insider influences or controls, including any corporations, partnerships or trusts (at times collectively referred to in this Policy as “</w:t>
      </w:r>
      <w:r>
        <w:rPr>
          <w:rFonts w:ascii="Times New Roman;serif" w:hAnsi="Times New Roman;serif"/>
          <w:b w:val="false"/>
          <w:color w:val="000000"/>
          <w:sz w:val="20"/>
          <w:u w:val="single"/>
        </w:rPr>
        <w:t>Controlled Entities</w:t>
      </w:r>
      <w:r>
        <w:rPr>
          <w:color w:val="000000"/>
        </w:rPr>
        <w:t>”</w:t>
      </w:r>
      <w:r>
        <w:rPr>
          <w:rFonts w:ascii="Times New Roman;serif" w:hAnsi="Times New Roman;serif"/>
          <w:b w:val="false"/>
          <w:color w:val="000000"/>
          <w:sz w:val="20"/>
        </w:rPr>
        <w:t>), and transactions by these Controlled Entities should be treated for the purposes of this Policy and applicable securities laws as if they were for the Insider’s own account.</w:t>
      </w:r>
    </w:p>
    <w:p>
      <w:pPr>
        <w:pStyle w:val="TextBody"/>
        <w:bidi w:val="0"/>
        <w:spacing w:lineRule="auto" w:line="288" w:before="0" w:after="160"/>
        <w:ind w:left="0" w:right="0" w:firstLine="720"/>
        <w:jc w:val="both"/>
        <w:rPr/>
      </w:pPr>
      <w:r>
        <w:rPr>
          <w:rFonts w:ascii="Times New Roman;serif" w:hAnsi="Times New Roman;serif"/>
          <w:b w:val="false"/>
          <w:color w:val="000000"/>
          <w:sz w:val="20"/>
        </w:rPr>
        <w:t>Designated Insiders are subject to trading blackouts and pre-clearance requirements, and Designated Insiders who are directors or Executive Officers are also subject to reporting requirements as described below. For purposes of this Policy, the term “</w:t>
      </w:r>
      <w:r>
        <w:rPr>
          <w:rFonts w:ascii="Times New Roman;serif" w:hAnsi="Times New Roman;serif"/>
          <w:b w:val="false"/>
          <w:color w:val="000000"/>
          <w:sz w:val="20"/>
          <w:u w:val="single"/>
        </w:rPr>
        <w:t>Executive Officers</w:t>
      </w:r>
      <w:r>
        <w:rPr>
          <w:color w:val="000000"/>
        </w:rPr>
        <w:t xml:space="preserve">” </w:t>
      </w:r>
      <w:r>
        <w:rPr>
          <w:rFonts w:ascii="Times New Roman;serif" w:hAnsi="Times New Roman;serif"/>
          <w:b w:val="false"/>
          <w:color w:val="000000"/>
          <w:sz w:val="20"/>
        </w:rPr>
        <w:t>includes Officers designated by the Board of Directors as Regulation S-K, Item 401(b) executive officers (pursuant to Rule 3b-7 of the Securities Exchange Act of 1934, as amended (the “Exchange Act”)) as well as the Chief Accounting Officer.</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Definition of Material Inside Information</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Inside information includes any information relating to the Company which has not been generally disclosed to the public and is not generally known to the investment community and those trading in the securities of the Company.</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and tipping prohibitions apply to “material” inside information, which includes any information a reasonable investor is likely to consider important in determining whether to buy, sell or hold the Company’s (or </w:t>
      </w:r>
    </w:p>
    <w:p>
      <w:pPr>
        <w:pStyle w:val="TextBody"/>
        <w:bidi w:val="0"/>
        <w:spacing w:before="0" w:after="16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other) securities. Material inside information may arise in connection with the following events, for example, depending upon their importance: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Preparation of financial results or guidance;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Omission of a dividend or change in dividend rate;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 in earnings of the Company as a whole, or of one or more business segments;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 in operations, such as interruption or curtailment at a major production facility or significant changes in production capacity;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Significant cybersecurity incidents such as a data breach, or any other significant disruption in the Company’s operations or loss, potential loss, breach or unauthorized access of its property or assets, whether at its facilities or through its information technology infrastructure;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Mergers, acquisitions, dispositions or the formation of joint ventures involving the Company or any of its subsidiaries or business groups;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Gain or loss of a significant order, customer, supplier or finance source, or termination or reduction of business relationship with a customer that provides material revenue to the Company;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 tender offer for the Company’s securities or by the Company for the securities of another company;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Creation of a material direct or contingent financial obligation;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Commencement of a new business or development of a new product or technological breakthrough;</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 in the value or composition of the Company’s assets or in liquidity;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Imminent change in the Company’s credit rating by a rating agency;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Receipt of a major contract;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Impending bankruptcy or financial liquidity problems;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Stock split or stock dividend;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Significant product defects;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 in control or change in senior management;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Material agreements not in the ordinary course of business (or termination thereof);</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Significant labor dispute or negotiation;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Public or private sale of additional securities, including debt securities;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Redemption of the Company’s debentures, except for normal redemptions pursuant to sinking fund provisions;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Initiation, status or termination of a signification litigation, investigation, or regulatory or legal proceeding;</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Establishment of a program to purchase the Company’s own securities; and</w:t>
      </w:r>
    </w:p>
    <w:p>
      <w:pPr>
        <w:pStyle w:val="TextBody"/>
        <w:bidi w:val="0"/>
        <w:spacing w:lineRule="auto" w:line="288" w:before="0" w:after="160"/>
        <w:ind w:left="0" w:right="0" w:hanging="720"/>
        <w:jc w:val="both"/>
        <w:rPr/>
      </w:pPr>
      <w:r>
        <w:rPr>
          <w:color w:val="000000"/>
        </w:rPr>
        <w:t>•</w:t>
      </w:r>
      <w:r>
        <w:rPr>
          <w:rFonts w:ascii="Times New Roman;serif" w:hAnsi="Times New Roman;serif"/>
          <w:b w:val="false"/>
          <w:color w:val="000000"/>
          <w:sz w:val="20"/>
        </w:rPr>
        <w:t>The imposition of an event-specific restriction (a special blackout) on trading in the Company’s securities or the securities of another company or the extension or termination of such restriction.</w:t>
      </w:r>
    </w:p>
    <w:p>
      <w:pPr>
        <w:pStyle w:val="TextBody"/>
        <w:bidi w:val="0"/>
        <w:spacing w:lineRule="auto" w:line="288" w:before="0" w:after="160"/>
        <w:ind w:left="0" w:right="0" w:firstLine="720"/>
        <w:jc w:val="both"/>
        <w:rPr/>
      </w:pPr>
      <w:r>
        <w:rPr>
          <w:rFonts w:ascii="Times New Roman;serif" w:hAnsi="Times New Roman;serif"/>
          <w:b w:val="false"/>
          <w:color w:val="000000"/>
          <w:sz w:val="20"/>
        </w:rPr>
        <w:t>When uncertain as to the materiality of known inside information, an Insider should consult with the Corporate Secretary before engaging in transactions in the Company’s (or other) securities.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 addition, Designated Insiders should follow established procedures for prior clearance of transactions as described in this manual in the section entitled “Engaging in Securities Transactions by Directors, Officers and Other Designated Insiders” under the heading “Prior Clearance of Transactions in Company Securities.”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Engaging in transactions in the Company’s securities by Insiders who are aware of material information, provided such transactions are otherwise consistent with the policies set forth in this Policy, should be made only when such information has been sufficiently publicized by the Company so that the public has had the opportunity to evaluate it. Information is not public merely because it is reflected by rumors or other unofficial statements in the marketplace. Insiders may not attempt to “beat the market” by trading simultaneously with, or shortly after, the official release of such information. Depending on the circumstances, information normally should not be regarded as public until at least 24 hours after it has been filed with the SEC, disclosed on the Company’s public internet site or disseminated through a national news medium. To minimize uncertainty in this regard, Designated Insiders must follow certain restrictions on the timing of their trades, as outlined below.</w:t>
      </w:r>
    </w:p>
    <w:p>
      <w:pPr>
        <w:pStyle w:val="TextBody"/>
        <w:bidi w:val="0"/>
        <w:spacing w:lineRule="auto" w:line="288"/>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If a person designated by title in this Policy is unavailable to take action, an authorized designee(s) may act in his or her absence.</w:t>
      </w:r>
    </w:p>
    <w:p>
      <w:pPr>
        <w:pStyle w:val="TextBody"/>
        <w:bidi w:val="0"/>
        <w:spacing w:before="0" w:after="16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IV.    ENGAGING IN SECURITIES TRANSACTIONS BY DIRECTORS, OFFICERS AND OTHER DESIGNATED INSIDERS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Window Period</w:t>
      </w:r>
    </w:p>
    <w:p>
      <w:pPr>
        <w:pStyle w:val="TextBody"/>
        <w:bidi w:val="0"/>
        <w:spacing w:lineRule="auto" w:line="288" w:before="0" w:after="160"/>
        <w:ind w:left="0" w:right="0" w:firstLine="720"/>
        <w:jc w:val="both"/>
        <w:rPr/>
      </w:pPr>
      <w:r>
        <w:rPr>
          <w:rFonts w:ascii="Times New Roman;serif" w:hAnsi="Times New Roman;serif"/>
          <w:b w:val="false"/>
          <w:color w:val="000000"/>
          <w:sz w:val="20"/>
        </w:rPr>
        <w:t>It is the Company’s policy that Designated Insiders will limit transactions (e.g., sales, purchases, gifts and option exercises (see below)) in the Company’s securities to the 30-day period beginning on the second business day following the release of annual or quarterly financial results or such other period as the Corporate Secretary may specify (the “</w:t>
      </w:r>
      <w:r>
        <w:rPr>
          <w:rFonts w:ascii="Times New Roman;serif" w:hAnsi="Times New Roman;serif"/>
          <w:b w:val="false"/>
          <w:color w:val="000000"/>
          <w:sz w:val="20"/>
          <w:u w:val="single"/>
        </w:rPr>
        <w:t>Window Period</w:t>
      </w:r>
      <w:r>
        <w:rPr>
          <w:color w:val="000000"/>
        </w:rPr>
        <w:t>”</w:t>
      </w:r>
      <w:r>
        <w:rPr>
          <w:rFonts w:ascii="Times New Roman;serif" w:hAnsi="Times New Roman;serif"/>
          <w:b w:val="false"/>
          <w:color w:val="000000"/>
          <w:sz w:val="20"/>
        </w:rPr>
        <w:t>). Each quarter, a communication will be sent to Designated Insiders notifying the individuals of the opening and closing dates for the Window Period. However, except as set forth herein, no transactions in the Company’s securities should be made even during a Window Period if the person desiring to effect a transaction has knowledge of material inside information. Designated Insiders should also follow the clearance procedures described below under the heading “Prior Clearance of Transactions in Company Securities,” and directors or Executive Officers should follow the reporting requirements, and specific legal restrictions on trades within a period of six months, under Section 16 of the Exchange Act.</w:t>
      </w:r>
    </w:p>
    <w:p>
      <w:pPr>
        <w:pStyle w:val="TextBody"/>
        <w:bidi w:val="0"/>
        <w:spacing w:lineRule="auto" w:line="288" w:before="0" w:after="160"/>
        <w:ind w:left="0" w:right="0" w:firstLine="720"/>
        <w:jc w:val="both"/>
        <w:rPr/>
      </w:pPr>
      <w:r>
        <w:rPr>
          <w:rFonts w:ascii="Times New Roman;serif" w:hAnsi="Times New Roman;serif"/>
          <w:b/>
          <w:color w:val="000000"/>
          <w:sz w:val="20"/>
        </w:rPr>
        <w:t xml:space="preserve">Gifts. </w:t>
      </w:r>
      <w:r>
        <w:rPr>
          <w:rFonts w:ascii="Times New Roman;serif" w:hAnsi="Times New Roman;serif"/>
          <w:b w:val="false"/>
          <w:color w:val="000000"/>
          <w:sz w:val="20"/>
        </w:rPr>
        <w:t>For the avoidance of doubt, gifts of securities are subject to this Policy and the Window Period restrictions.</w:t>
      </w:r>
    </w:p>
    <w:p>
      <w:pPr>
        <w:pStyle w:val="TextBody"/>
        <w:bidi w:val="0"/>
        <w:spacing w:lineRule="auto" w:line="288" w:before="0" w:after="160"/>
        <w:ind w:left="0" w:right="0" w:firstLine="720"/>
        <w:jc w:val="both"/>
        <w:rPr/>
      </w:pPr>
      <w:r>
        <w:rPr>
          <w:rFonts w:ascii="Times New Roman;serif" w:hAnsi="Times New Roman;serif"/>
          <w:b/>
          <w:color w:val="000000"/>
          <w:sz w:val="20"/>
        </w:rPr>
        <w:t>Stock Option Exercises.</w:t>
      </w:r>
      <w:r>
        <w:rPr>
          <w:color w:val="000000"/>
        </w:rPr>
        <w:t xml:space="preserve"> </w:t>
      </w:r>
      <w:r>
        <w:rPr>
          <w:rFonts w:ascii="Times New Roman;serif" w:hAnsi="Times New Roman;serif"/>
          <w:b w:val="false"/>
          <w:color w:val="000000"/>
          <w:sz w:val="20"/>
        </w:rPr>
        <w:t>This Policy and the Window Period restrictions apply to the exercise of an employee stock option acquired pursuant to the Company’s plans and to sales of stock as part of a broker-assisted cashless exercise of an option, or any other market sale for the purpose of generating the cash needed to pay the exercise price of an option. Cashless stock option exercises involve both a purchase of underlying shares and a sale of shares in the open market to cover the option costs. Accordingly, the cashless exercise of stock options is subject to the Window Period restriction.</w:t>
      </w:r>
    </w:p>
    <w:p>
      <w:pPr>
        <w:pStyle w:val="TextBody"/>
        <w:bidi w:val="0"/>
        <w:spacing w:lineRule="auto" w:line="288" w:before="0" w:after="160"/>
        <w:ind w:left="0" w:right="0" w:firstLine="720"/>
        <w:jc w:val="both"/>
        <w:rPr/>
      </w:pPr>
      <w:r>
        <w:rPr>
          <w:rFonts w:ascii="Times New Roman;serif" w:hAnsi="Times New Roman;serif"/>
          <w:b/>
          <w:color w:val="000000"/>
          <w:sz w:val="20"/>
        </w:rPr>
        <w:t>Restricted Stock and Restricted Stock Unit Awards.</w:t>
      </w:r>
      <w:r>
        <w:rPr>
          <w:color w:val="000000"/>
        </w:rPr>
        <w:t xml:space="preserve"> </w:t>
      </w:r>
      <w:r>
        <w:rPr>
          <w:rFonts w:ascii="Times New Roman;serif" w:hAnsi="Times New Roman;serif"/>
          <w:b w:val="false"/>
          <w:color w:val="000000"/>
          <w:sz w:val="20"/>
        </w:rPr>
        <w:t>This Policy and the Window Period restrictions do not apply to the vesting of restricted stock or restricted stock units or the withholding or sale of stock back to the Company to satisfy tax withholding obligations upon the vesting of any restricted stock or restricted stock unit. This Policy and the Window Period restrictions do apply, however, to any market sale of shares acquired upon vesting of restricted stock units and exercise of a tax withholding right.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Special Blackout Periods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Corporate Secretary may impose special blackout periods during which Designated Insiders and other affected persons will be prohibited from engaging in transactions in Company securities. In the event of a special blackout period, the Corporate Secretary will notify the Designated Insiders and/or other affected persons, who will be prohibited from engaging in any transaction involving Company securities until further written notice. The imposition of a special blackout period is itself confidential information, and the fact that it has been imposed may not be disclosed to others.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Corporate Secretary may shorten, suspend, terminate or extend any window or special blackout period at such time and for such duration as he or she deems appropriate given the relevant circumstances. Any persons affected by such a modification will be appropriately notified.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0" w:after="160"/>
        <w:ind w:left="0" w:right="0" w:firstLine="720"/>
        <w:jc w:val="both"/>
        <w:rPr/>
      </w:pPr>
      <w:r>
        <w:rPr>
          <w:rFonts w:ascii="Times New Roman;serif" w:hAnsi="Times New Roman;serif"/>
          <w:b w:val="false"/>
          <w:color w:val="000000"/>
          <w:sz w:val="20"/>
        </w:rPr>
        <w:t>Implementation of a trading plan under SEC Rule 10b5-1 (“</w:t>
      </w:r>
      <w:r>
        <w:rPr>
          <w:rFonts w:ascii="Times New Roman;serif" w:hAnsi="Times New Roman;serif"/>
          <w:b w:val="false"/>
          <w:color w:val="000000"/>
          <w:sz w:val="20"/>
          <w:u w:val="single"/>
        </w:rPr>
        <w:t>Rule 10b5-1 Plan</w:t>
      </w:r>
      <w:r>
        <w:rPr>
          <w:color w:val="000000"/>
        </w:rPr>
        <w:t>”</w:t>
      </w:r>
      <w:r>
        <w:rPr>
          <w:rFonts w:ascii="Times New Roman;serif" w:hAnsi="Times New Roman;serif"/>
          <w:b w:val="false"/>
          <w:color w:val="000000"/>
          <w:sz w:val="20"/>
        </w:rPr>
        <w:t>) allows an Insider to place a standing order with a broker for the purchase or sale of the Company’s securities, so long as the plan is written and specifies the dates, prices and amounts of the contemplated trades or establishes a formula for determining dates, prices and amounts. The Insider is not permitted to exercise any subsequent influence over how, when or whether to engage in purchases or sales under the Rule 10b5-1 Plan. Trading discretion is delegated to the broker. A Rule 10b5-1 Plan may only be entered into, modified, amended or terminated when an individual is not in possession of material, nonpublic information. All persons entering into a Rule 10b5-1 Plan must act in good faith with respect to that plan. A Rule 10b5-1 Plan cannot be entered into as part of a plan or scheme to evade the prohibitions of Rule 10b-5. A Rule 10b5-1 Plan should be adopted with the intention that it will not be amended or terminated prior to its expiration.</w:t>
      </w:r>
    </w:p>
    <w:p>
      <w:pPr>
        <w:pStyle w:val="TextBody"/>
        <w:bidi w:val="0"/>
        <w:spacing w:before="0" w:after="16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Rule 10b5-1 Plan must be pre-approved as set forth below and meet the requirements of Rule 10b5-1 and the requirements set forth below. With a properly implemented Rule 10b5-1 Plan in place, trading strictly in accordance with the plan may occur, even outside the window or during a special blackout period without further input from the Insider or pre-clearance.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Whether or not pre-approval of a Rule 10b5-1 Plan will be granted will depend on all the facts and circumstances at the time, but the principal requirements for entering into, maintaining, modifying, and terminating a Rule 10b5-1 Plan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Pre-clearance must be obtained from the Corporate Secretary for the adoption and any subsequent modification or termination of a Rule 10b5-1 Plan. Officers and directors must first obtain approval from the Chairman of the Board. Any Rule 10b5-1 Plan must be submitted for approval at least five days prior to the entry into the Rule 10b5-1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Rule 10b5-1 Plan may be adopted only during an open Window Period when a special blackout period is not in effect and when the Insider is not aware of material nonpublic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Modifications or amendments are permitted only during open Window Periods when a special blackout period is not in effect, when the Insider is not aware of material nonpublic information, and not more than once in a Window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transactions may take place under a Rule 10b5-1 Plan until the later of (a) 90 days after adoption, amendment, or modification of the Rule 10b5-1 Plan, and (b) two business days following the disclosure of the Company’s financial results in a quarterly report on Form 10-Q or an annual report on Form 10-K for the fiscal quarter (the Company’s fourth fiscal quarter in the case of a Form 10-K) in which the Rule 10b5-1 Plan was adopted or modified (but in any event, the cooling-off period is subject to a maximum of 120 days after adoption, modification, or amendment of the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Terminations are permitted only during open Window Periods when a special blackout period is not in effect and when the Insider is not aware of material nonpublic information. If a Rule 10b5-1 Plan is terminated, you must wait at least 90 days before trading outside of the Rule 10b5-1 Plan. The 90-day cooling-off period will apply to any new 10b5-1 Plan adopted after the termination;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term for a Rule 10b5-1 Plan shall be at least one year and is typically one to two years;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Opposite way trades in the Company’s securities outside of the Rule 10b5-1 Plan while it is in effect (e.g., purchases of Company stock outside a Rule 10b5-1 Plan instructing the sale of Company stock) are prohibited;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person may not enter into overlapping Rule 10b5-1 Plans (subject to certain exceptions) and may only enter into one single-trade Rule 10b5-1 Plan during any 12-month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Rule 10b5-1 Plans must include a representation certifying that: (i) the Insider is not aware of any material nonpublic information; and (ii) the Insider is adopting the plan in good faith and not as part of a plan or scheme to evade the prohibitions in Rule 10b-5;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Alternative trading plans not implemented under Rule 10b5-1 but that function in a manner similar to 10b5-1 plans by initiating orders for trades in advance of the trade date require pre-clearance and may be subject to some or all the above Rule 10b5-1 Plan requirements.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executed version of any pre-cleared trading plan must be provided to the Corporate Secretary for retention.</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a Rule 10b5-1 Plan is in place, transacting outside of the plan in securities (including exercise of options) covered by the plan is prohibited.</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the Company’s Executive Officers and directors are required to make certain disclosures in SEC filings concerning Rule 10b5-1 Plans. Executive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pursuant to a Rule 10b5-1 Plan remain subject to Form 144 and Section 16 reporting requirements, and the fact that a reported transaction was made or is to be made pursuant to a trading plan (and the date of the plan) should be noted on the applicable form. Approval or adoption of a Rule 10b5-1 trading plan in no </w:t>
      </w:r>
    </w:p>
    <w:p>
      <w:pPr>
        <w:pStyle w:val="TextBody"/>
        <w:bidi w:val="0"/>
        <w:spacing w:before="0" w:after="16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way reduces or eliminates a director’s or an Executive Officer’s obligations under Section 16 of the Exchange Act, including such person’s disclosure obligations and short-swing trading liabilities thereunder.</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Prior Clearance of Transactions in Company Securities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minimize the possibility of an inadvertent violation of the Insider trading prohibitions discussed above, all directors, Officers and other Designated Insiders must pre-clear proposed transactions in the Company’s securities (including transactions by their Family Members and Controlled Entities) with the Corporate Secretary, including during an open window. Unless otherwise indicated in this Policy, the pre-clearance requirement applies to all transactions in Company securities, including Fund-Switching Transactions affecting securities in the Stock Fund, gifts of Company securities, and stock option exercises. All directors and Officers, except for the Chief Executive Officer, must also pre-clear proposed transactions with the Chief Executive Officer. The Chief Executive Officer must also pre-clear proposed transactions with the Chairman of the Board (if the Chief Executive Officer is a separate role).</w:t>
      </w:r>
    </w:p>
    <w:p>
      <w:pPr>
        <w:pStyle w:val="TextBody"/>
        <w:bidi w:val="0"/>
        <w:spacing w:lineRule="auto" w:line="288" w:before="0" w:after="160"/>
        <w:ind w:left="0" w:right="0" w:firstLine="720"/>
        <w:jc w:val="both"/>
        <w:rPr/>
      </w:pPr>
      <w:r>
        <w:rPr>
          <w:rFonts w:ascii="Times New Roman;serif" w:hAnsi="Times New Roman;serif"/>
          <w:b w:val="false"/>
          <w:color w:val="000000"/>
          <w:sz w:val="20"/>
        </w:rPr>
        <w:t xml:space="preserve">Pre-clearance requests may be submitted, together with all required supporting documentation and certification (including a pre-transaction certification substantially in the form provided as </w:t>
      </w:r>
      <w:r>
        <w:rPr>
          <w:rFonts w:ascii="Times New Roman;serif" w:hAnsi="Times New Roman;serif"/>
          <w:b w:val="false"/>
          <w:color w:val="000000"/>
          <w:sz w:val="20"/>
          <w:u w:val="single"/>
        </w:rPr>
        <w:t>Attachment A</w:t>
      </w:r>
      <w:r>
        <w:rPr>
          <w:rFonts w:ascii="Times New Roman;serif" w:hAnsi="Times New Roman;serif"/>
          <w:b w:val="false"/>
          <w:color w:val="000000"/>
          <w:sz w:val="20"/>
        </w:rPr>
        <w:t>), at any time during an open Window Period when the Insider is not aware of material nonpublic information, and when a special blackout period is not in effect.</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a request for pre-clearance is made, the requestor should carefully consider whether the requestor may be aware of any material nonpublic information about the Company and should include a description those circumstances. If the requestor is a director or Executive Officer, then the requestor should also indicate whether the requestor has effected any non-exempt “opposite-way” transactions within the past six months, should be prepared to report the proposed transaction on an appropriate Form 4 or Form 5, and should be prepared to comply with Rule 144 and file a Form 144, if necessary, at the time of any sale.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Chief Executive Officer, Chairman of the Board, and Corporate Secretary are under no obligation to approve any transaction. If a person seeks pre-clearance and permission to engage in the transaction is denied, then the person should refrain from initiating any transaction in the Company’s securities and should not inform any other person of the restriction. This pre-clearance requirement does not apply to transactions under previously approved Rule 10b5-1 Plans (however, all Company personnel shall pre-clear Rule 10b5-1 Plans prior to the adoption, modification, amendment, or termination of such plans).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Secretary clearance will normally be effective only for a specific transaction, only for two business days following the pre-clearance, and only so long as the person given clearance is not aware of undisclosed material information. Any transaction to be entered into thereafter will require a new clearance.</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V.    ENGAGING IN SECURITIES TRANSACTIONS BY GENERAL EMPLOYEE POPULATION AND OTHERS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Becoming an Insider as to Specific Material Information</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Almost any employee may, at some time, become aware of material inside information, even by inadvertently overhearing a conversation or viewing sensitive documents. In such cases, the employee is considered an Insider as is any person to whom the employee discloses that information before it becomes public. No transaction should be made while aware of any material information until at least 24 hours after it has been made public or such longer period as the Corporate Secretary may specify. If an employee is in any doubt whatsoever regarding this rule, the employee should immediately contact the Corporate Secretary. No employee should engage in transactions in the securities of the Company if one of the reasons for the transaction is the employee’s belief that he has access to nonpublic information that, when it becomes public, will cause the Company’s stock price to go up or down.</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Hedging and Speculative Transactions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that hedging by a Designated Insider, any employee who is aware of material nonpublic information, or any of their designees is prohibited and is strongly discouraged for all other employees. </w:t>
      </w:r>
    </w:p>
    <w:p>
      <w:pPr>
        <w:pStyle w:val="TextBody"/>
        <w:bidi w:val="0"/>
        <w:spacing w:before="0" w:after="16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For this purpose, hedging means purchasing financial instruments (including prepaid variable forward sale contracts, equity swaps, collars and interests in exchange funds) or otherwise engaging in transactions that are designed to hedge or offset any decrease in the market value of Company stock held, directly or indirectly by them, whether the stock was acquired pursuant to a compensation arrangement or otherwise. An Insider who is uncertain about whether a financial instrument or transaction would fall under this policy should consult with the Corporate Secretary before purchasing the instrument or entering into the transaction.</w:t>
      </w:r>
    </w:p>
    <w:p>
      <w:pPr>
        <w:pStyle w:val="TextBody"/>
        <w:bidi w:val="0"/>
        <w:spacing w:lineRule="auto" w:line="288" w:before="0" w:after="160"/>
        <w:ind w:left="0" w:right="0" w:firstLine="720"/>
        <w:jc w:val="both"/>
        <w:rPr/>
      </w:pPr>
      <w:r>
        <w:rPr>
          <w:rFonts w:ascii="Times New Roman;serif" w:hAnsi="Times New Roman;serif"/>
          <w:b w:val="false"/>
          <w:color w:val="000000"/>
          <w:sz w:val="20"/>
        </w:rPr>
        <w:t>Designated Insiders and all other employees of the Company and any of their designees are prohibited from making any Short Sale</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or Sale Against The Box</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of the Company’s equity securities (which term includes the Company’s common stock and any preferred stock which may be issued from time to time).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promote compliance with the securities laws and the applicable policies of the Company, Designated Insiders and all other employees should view all their transactions in the Company’s securities as involving investment decisions and not speculation. It is the Company’s policy that no director, Officer, or any of their designees should: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purchase or sell Puts or Calls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on the Company’s securities or otherwise engage in transactions in or write options on such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take a short position in an equity swap</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or forward sale or purchase contract</w:t>
      </w:r>
      <w:r>
        <w:rPr>
          <w:rFonts w:ascii="Times New Roman;serif" w:hAnsi="Times New Roman;serif"/>
          <w:b w:val="false"/>
          <w:color w:val="000000"/>
          <w:sz w:val="13"/>
        </w:rPr>
        <w:t>7</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take a short position through a derivative contract or otherwise in an index or basket of stocks including Solstice Advanced Materials stock, other than a “broad-based” index or basket;</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or</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purchase interests in Exchange Funds.</w:t>
      </w:r>
      <w:r>
        <w:rPr>
          <w:rFonts w:ascii="Times New Roman;serif" w:hAnsi="Times New Roman;serif"/>
          <w:b w:val="false"/>
          <w:color w:val="000000"/>
          <w:sz w:val="13"/>
        </w:rPr>
        <w:t>9</w:t>
      </w:r>
      <w:r>
        <w:rPr>
          <w:color w:val="000000"/>
        </w:rPr>
        <w:t xml:space="preserve"> </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in-and-out trading involving holding of securities for brief periods and other speculative transactions in the Company’s securities are prohibited for Designated Insiders or any of their designees and strongly discouraged for all others as a matter of policy. The immediate sale of stock purchased on the exercise of employee stock options is not inconsistent with this policy, although any such sale by an Insider would be subject to the general prohibition against Insider trading and the timing requirements set forth above. (Directors and Executive Officers would also be subject to specific legal restrictions on trades within a period of six months under Section 16 of the Exchange Act.).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Pledging and Margin Accounts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the Company’s policy that pledging the Company’s securities or using the Company’s securities to support margin debt by directors, Executive Officers, or any of their designees is prohibited. All other employees must exercise extreme caution in pledging the Company’s securities or using the Company’s securities to support margin debt. SEC rules require that any pledge of the Company’s securities by a director or an Executive Officer or any of their designees be disclosed in the Company’s annual proxy statement.</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Post-Termination Transactions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Policy continues to apply to transactions in the Company’s securities (or the securities of another company to the extent prohibited herein) even after termination of service with the Company. If an individual is aware of material nonpublic information when the individual’s service terminates, that individual may not engage in </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 “Short Sale” is a sale of borrowed securities which the seller hopes can be purchased at a lower price in the future.</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 “Sale Against The Box” is a sale of stock in which the seller owns the stock being sold, but does not deliver it to the broker against the sale.</w:t>
      </w:r>
    </w:p>
    <w:p>
      <w:pPr>
        <w:pStyle w:val="TextBody"/>
        <w:bidi w:val="0"/>
        <w:spacing w:lineRule="auto" w:line="288"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Puts” and “Calls” are options to buy or sell stock. The sale of a call option (i.e., giving the counterparty the right to buy Solstice Advanced Materials stock from the seller at a fixed or formulaic price) is the short position, which increases in value as the stock price declines.</w:t>
      </w:r>
    </w:p>
    <w:p>
      <w:pPr>
        <w:pStyle w:val="TextBody"/>
        <w:bidi w:val="0"/>
        <w:spacing w:lineRule="auto" w:line="288" w:before="0" w:after="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A “Swap Contract” is an agreement between two parties to exchange cash flows. The “short position” in a Swap Contract in respect of Solstice Advanced Materials stock is the obligation to pay amounts related to the value of, or distributions on, Solstice Advanced Materials stock, so that the value of the short position increases as the stock price decreases.</w:t>
      </w:r>
    </w:p>
    <w:p>
      <w:pPr>
        <w:pStyle w:val="TextBody"/>
        <w:bidi w:val="0"/>
        <w:spacing w:lineRule="auto" w:line="288" w:before="0" w:after="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A “Forward Contract” is a contract for the future sale and purchase of shares for a fixed or formulaic price. The “short position” in a Forward Contract is the obligation to sell, which becomes more valuable as the stock price decreases.</w:t>
      </w:r>
    </w:p>
    <w:p>
      <w:pPr>
        <w:pStyle w:val="TextBody"/>
        <w:bidi w:val="0"/>
        <w:spacing w:lineRule="auto" w:line="288" w:before="0" w:after="0"/>
        <w:jc w:val="both"/>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An interest in an index or basket of stocks is a financial instrument that permits the holder to profit if the value of the stocks included in the index or basket changes. SEC rules contain a complex multi-part test to determine whether an index or basket is sufficiently diversified so as to be considered “broad-based.”</w:t>
      </w:r>
    </w:p>
    <w:p>
      <w:pPr>
        <w:pStyle w:val="TextBody"/>
        <w:bidi w:val="0"/>
        <w:spacing w:lineRule="auto" w:line="288"/>
        <w:jc w:val="both"/>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An “Exchange Fund” is a pooled investment vehicle allowing an investor to reduce exposure to Solstice Advanced Materials stock by exchanging his or her large holding of Solstice Advanced Materials stock for units in a diversified investment portfolio, usually on a tax-favored basis.</w:t>
      </w:r>
    </w:p>
    <w:p>
      <w:pPr>
        <w:pStyle w:val="TextBody"/>
        <w:bidi w:val="0"/>
        <w:spacing w:before="0" w:after="16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transactions in such securities until that information has become public or is no longer material. The preclearance procedures specified herein will cease to apply to transactions in the Company’s securities upon the expiration of any blackout period or other Company-imposed trading restrictions applicable at the time of the termination of service.</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Other Special Prohibitions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from time to time, issue instructions advising certain personnel that for certain periods they should refrain from trading in securities of the Company. Upon the issuance of such instructions, no purchases or sales should be made by such personnel except in accordance therewith or as may be specifically cleared with the Corporate Secretary.</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VI.    ADMINISTRATION OF THE POLICY</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Roles and Responsibilities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Corporate Secretary has ultimate responsibility for all matters pertaining to the interpretation and enforcement of this Policy, and in addition to the other duties of the Corporate Secretary under this Policy, the Corporate Secretary will be responsible for the following:</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Sending quarterly and other reminders to Designated Insiders regarding the start and completion of open Window Periods;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Sending notifications to Designated Insiders and other affected persons regarding special blackout periods;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Periodically circulating this Policy (and/or a summary thereof) and coordinating training about this Policy to relevant Company personnel;</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Maintaining a current version of this Policy on the Company’s intranet website; and</w:t>
      </w:r>
    </w:p>
    <w:p>
      <w:pPr>
        <w:pStyle w:val="TextBody"/>
        <w:bidi w:val="0"/>
        <w:spacing w:lineRule="auto" w:line="288" w:before="0" w:after="160"/>
        <w:ind w:left="0" w:right="0" w:hanging="720"/>
        <w:jc w:val="both"/>
        <w:rPr/>
      </w:pPr>
      <w:r>
        <w:rPr>
          <w:color w:val="000000"/>
        </w:rPr>
        <w:t>•</w:t>
      </w:r>
      <w:r>
        <w:rPr>
          <w:rFonts w:ascii="Times New Roman;serif" w:hAnsi="Times New Roman;serif"/>
          <w:b w:val="false"/>
          <w:color w:val="000000"/>
          <w:sz w:val="20"/>
        </w:rPr>
        <w:t>Assisting the Company in implementing this Policy, including monitoring relevant changes in law, regulation or best practices and making appropriate changes to this Policy and related practices and procedures.</w:t>
      </w:r>
    </w:p>
    <w:p>
      <w:pPr>
        <w:pStyle w:val="TextBody"/>
        <w:bidi w:val="0"/>
        <w:spacing w:lineRule="auto" w:line="288" w:before="0" w:after="160"/>
        <w:ind w:left="0" w:right="0" w:firstLine="720"/>
        <w:jc w:val="both"/>
        <w:rPr/>
      </w:pPr>
      <w:r>
        <w:rPr>
          <w:rFonts w:ascii="Times New Roman;serif" w:hAnsi="Times New Roman;serif"/>
          <w:b w:val="false"/>
          <w:color w:val="000000"/>
          <w:sz w:val="20"/>
        </w:rPr>
        <w:t>References in this policy to the “</w:t>
      </w:r>
      <w:r>
        <w:rPr>
          <w:rFonts w:ascii="Times New Roman;serif" w:hAnsi="Times New Roman;serif"/>
          <w:b w:val="false"/>
          <w:color w:val="000000"/>
          <w:sz w:val="20"/>
          <w:u w:val="single"/>
        </w:rPr>
        <w:t>Corporate Secretary</w:t>
      </w:r>
      <w:r>
        <w:rPr>
          <w:color w:val="000000"/>
        </w:rPr>
        <w:t xml:space="preserve">” </w:t>
      </w:r>
      <w:r>
        <w:rPr>
          <w:rFonts w:ascii="Times New Roman;serif" w:hAnsi="Times New Roman;serif"/>
          <w:b w:val="false"/>
          <w:color w:val="000000"/>
          <w:sz w:val="20"/>
        </w:rPr>
        <w:t>herein shall mean the Corporate Secretary, the Deputy Corporate Secretary, or one of their specified designees.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Acknowledgment</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Designated Insiders must annually confirm their understanding of, and intent to comply with, this Policy by completing the acknowledgment set forth in Attachment B hereto, and returning the certification to the Legal Department.</w:t>
      </w:r>
    </w:p>
    <w:p>
      <w:pPr>
        <w:pStyle w:val="TextBody"/>
        <w:bidi w:val="0"/>
        <w:spacing w:before="0" w:after="16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VII. INFORMATION AND RESOURCES</w:t>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Inquiries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who has a question about this Policy or its application to any proposed transaction may obtain additional guidance from the Corporate Secretary. If there is any uncertainty as to the appropriateness of any transaction, please consult with the Corporate Secretary before speaking with anyone, especially brokers or any other persons or entities contemplating or executing securities trades.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Reporting Concerns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Concerns regarding possible violations of this Policy or applicable securities laws may be reported to ACCESS Integrity: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By Phone:    1-888-829-8316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By Email:    IntegrityHelpline@Solstice.com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By Mail:    Solstice Advanced Materials Inc.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Attention: Deputy Corporate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115 Tabor Rd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Morris Plains, NJ 07950 USA</w:t>
      </w:r>
    </w:p>
    <w:p>
      <w:pPr>
        <w:pStyle w:val="TextBody"/>
        <w:bidi w:val="0"/>
        <w:spacing w:lineRule="auto" w:line="288" w:before="24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herein or in any other policy or agreement to the contrary, nothing in this Policy shall prohibit employees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 require notification to or prior approval by the Company of any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tLeast" w:line="273" w:before="15" w:after="283"/>
        <w:jc w:val="center"/>
        <w:rPr>
          <w:rFonts w:ascii="Times New Roman;serif" w:hAnsi="Times New Roman;serif"/>
          <w:b/>
          <w:color w:val="000000"/>
          <w:sz w:val="20"/>
        </w:rPr>
      </w:pPr>
      <w:r>
        <w:rPr>
          <w:rFonts w:ascii="Times New Roman;serif" w:hAnsi="Times New Roman;serif"/>
          <w:b/>
          <w:color w:val="000000"/>
          <w:sz w:val="20"/>
        </w:rPr>
        <w:t>ATTACHMENT A</w:t>
      </w:r>
    </w:p>
    <w:p>
      <w:pPr>
        <w:pStyle w:val="TextBody"/>
        <w:bidi w:val="0"/>
        <w:spacing w:lineRule="atLeast" w:line="273" w:before="240" w:after="283"/>
        <w:jc w:val="center"/>
        <w:rPr>
          <w:rFonts w:ascii="Times New Roman;serif" w:hAnsi="Times New Roman;serif"/>
          <w:b/>
          <w:color w:val="000000"/>
          <w:sz w:val="20"/>
        </w:rPr>
      </w:pPr>
      <w:r>
        <w:rPr>
          <w:rFonts w:ascii="Times New Roman;serif" w:hAnsi="Times New Roman;serif"/>
          <w:b/>
          <w:color w:val="000000"/>
          <w:sz w:val="20"/>
        </w:rPr>
        <w:t>FORM OF PRE-TRANSACTION CERTIFICATION</w:t>
      </w:r>
    </w:p>
    <w:p>
      <w:pPr>
        <w:pStyle w:val="TextBody"/>
        <w:bidi w:val="0"/>
        <w:spacing w:lineRule="atLeast" w:line="271" w:before="246"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________________________________________________________________________________________     </w:t>
      </w:r>
    </w:p>
    <w:p>
      <w:pPr>
        <w:pStyle w:val="TextBody"/>
        <w:bidi w:val="0"/>
        <w:spacing w:lineRule="atLeast" w:line="271" w:before="242"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Title: _________________________________________________________________________________________     </w:t>
      </w:r>
    </w:p>
    <w:p>
      <w:pPr>
        <w:pStyle w:val="TextBody"/>
        <w:bidi w:val="0"/>
        <w:spacing w:lineRule="atLeast" w:line="271" w:before="248"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Proposed Transaction Date: _______________________________________________________________________     </w:t>
      </w:r>
    </w:p>
    <w:p>
      <w:pPr>
        <w:pStyle w:val="TextBody"/>
        <w:bidi w:val="0"/>
        <w:spacing w:lineRule="atLeast" w:line="271" w:before="242"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Type of Security: _______________________________________________________________________________     </w:t>
      </w:r>
    </w:p>
    <w:p>
      <w:pPr>
        <w:pStyle w:val="TextBody"/>
        <w:bidi w:val="0"/>
        <w:spacing w:lineRule="atLeast" w:line="273" w:before="241" w:after="283"/>
        <w:jc w:val="both"/>
        <w:rPr>
          <w:rFonts w:ascii="Times New Roman;serif" w:hAnsi="Times New Roman;serif"/>
          <w:b w:val="false"/>
          <w:color w:val="000000"/>
          <w:sz w:val="20"/>
        </w:rPr>
      </w:pPr>
      <w:r>
        <w:rPr>
          <w:rFonts w:ascii="Times New Roman;serif" w:hAnsi="Times New Roman;serif"/>
          <w:b w:val="false"/>
          <w:color w:val="000000"/>
          <w:sz w:val="20"/>
        </w:rPr>
        <w:t>Type of Transaction(s) (Hedge / Pledge/ Purchase / Sale / Entry into/Modification, Amendment or Termination of Rule 10b5-1 Plan (if Plan, please attach)/Other trading plan (please attach)/Gift):    </w:t>
      </w:r>
    </w:p>
    <w:p>
      <w:pPr>
        <w:pStyle w:val="TextBody"/>
        <w:bidi w:val="0"/>
        <w:spacing w:lineRule="atLeast" w:line="271" w:before="242"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Number of Shares Involved (if applicable): __________________________________________________________     </w:t>
      </w:r>
    </w:p>
    <w:p>
      <w:pPr>
        <w:pStyle w:val="TextBody"/>
        <w:bidi w:val="0"/>
        <w:spacing w:lineRule="atLeast" w:line="276" w:before="245" w:after="283"/>
        <w:ind w:left="0" w:right="0" w:firstLine="720"/>
        <w:jc w:val="both"/>
        <w:rPr/>
      </w:pPr>
      <w:r>
        <w:rPr>
          <w:rFonts w:ascii="Times New Roman;serif" w:hAnsi="Times New Roman;serif"/>
          <w:b w:val="false"/>
          <w:color w:val="000000"/>
          <w:sz w:val="20"/>
        </w:rPr>
        <w:t xml:space="preserve">I hereby certify that I am not aware of any material nonpublic information about </w:t>
      </w:r>
      <w:r>
        <w:rPr>
          <w:rFonts w:ascii="Times New Roman;serif" w:hAnsi="Times New Roman;serif"/>
          <w:b/>
          <w:color w:val="000000"/>
          <w:sz w:val="20"/>
          <w:u w:val="single"/>
        </w:rPr>
        <w:t>Solstice Advanced Materials Inc.</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engage in transactions in Company securities while I am aware of material nonpublic information, I may be subject to severe civil or criminal penalties, and may be subject to discipline by the Company up to and including termination for cause. The undersigned agrees to advise the Company promptly if, as a result of future developments, any of the foregoing information becomes inaccurate or incomplete in any respect. The undersigned understands that the Company may require additional information about the transaction, and agrees to provide such information upon request.</w:t>
      </w:r>
    </w:p>
    <w:p>
      <w:pPr>
        <w:pStyle w:val="TextBody"/>
        <w:bidi w:val="0"/>
        <w:spacing w:lineRule="atLeast" w:line="276" w:before="240" w:after="45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seeking approval for the entry or modification of Rule 10b-5 Plan or other trading plan, I further certify that I am adopting the plan in good faith and not as part of a plan or scheme to evade the prohibitions of Rule 10b-5, that I shall act in good faith with respect to such plan, and that I shall include, or cause to be included, requisite certifications in the Rule 10b5-1 Plan.</w:t>
      </w:r>
    </w:p>
    <w:tbl>
      <w:tblPr>
        <w:tblW w:w="689" w:type="dxa"/>
        <w:jc w:val="left"/>
        <w:tblInd w:w="0" w:type="dxa"/>
        <w:tblLayout w:type="fixed"/>
        <w:tblCellMar>
          <w:top w:w="28" w:type="dxa"/>
          <w:left w:w="28" w:type="dxa"/>
          <w:bottom w:w="28" w:type="dxa"/>
          <w:right w:w="28" w:type="dxa"/>
        </w:tblCellMar>
      </w:tblPr>
      <w:tblGrid>
        <w:gridCol w:w="221"/>
        <w:gridCol w:w="193"/>
        <w:gridCol w:w="275"/>
      </w:tblGrid>
      <w:tr>
        <w:trPr/>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68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tLeast" w:line="273" w:before="15" w:after="283"/>
        <w:jc w:val="center"/>
        <w:rPr>
          <w:rFonts w:ascii="Times New Roman;serif" w:hAnsi="Times New Roman;serif"/>
          <w:b/>
          <w:color w:val="000000"/>
          <w:sz w:val="20"/>
        </w:rPr>
      </w:pPr>
      <w:r>
        <w:rPr>
          <w:rFonts w:ascii="Times New Roman;serif" w:hAnsi="Times New Roman;serif"/>
          <w:b/>
          <w:color w:val="000000"/>
          <w:sz w:val="20"/>
        </w:rPr>
        <w:t>ATTACHMENT B</w:t>
      </w:r>
    </w:p>
    <w:p>
      <w:pPr>
        <w:pStyle w:val="TextBody"/>
        <w:bidi w:val="0"/>
        <w:spacing w:lineRule="atLeast" w:line="273" w:before="240" w:after="283"/>
        <w:jc w:val="center"/>
        <w:rPr>
          <w:rFonts w:ascii="Times New Roman;serif" w:hAnsi="Times New Roman;serif"/>
          <w:b/>
          <w:color w:val="000000"/>
          <w:sz w:val="20"/>
        </w:rPr>
      </w:pPr>
      <w:r>
        <w:rPr>
          <w:rFonts w:ascii="Times New Roman;serif" w:hAnsi="Times New Roman;serif"/>
          <w:b/>
          <w:color w:val="000000"/>
          <w:sz w:val="20"/>
        </w:rPr>
        <w:t>ACKNOWLEDGMENT</w:t>
      </w:r>
    </w:p>
    <w:p>
      <w:pPr>
        <w:pStyle w:val="TextBody"/>
        <w:bidi w:val="0"/>
        <w:spacing w:lineRule="atLeast" w:line="273" w:before="241" w:after="283"/>
        <w:jc w:val="both"/>
        <w:rPr>
          <w:rFonts w:ascii="Times New Roman;serif" w:hAnsi="Times New Roman;serif"/>
          <w:b w:val="false"/>
          <w:color w:val="000000"/>
          <w:sz w:val="20"/>
        </w:rPr>
      </w:pPr>
      <w:r>
        <w:rPr>
          <w:rFonts w:ascii="Times New Roman;serif" w:hAnsi="Times New Roman;serif"/>
          <w:b w:val="false"/>
          <w:color w:val="000000"/>
          <w:sz w:val="20"/>
        </w:rPr>
        <w:t>The undersigned hereby acknowledges that he/she has read, understands and agrees to comply with the Insider Trading Policy.</w:t>
      </w:r>
    </w:p>
    <w:p>
      <w:pPr>
        <w:pStyle w:val="TextBody"/>
        <w:bidi w:val="0"/>
        <w:spacing w:before="5" w:after="283"/>
        <w:jc w:val="left"/>
        <w:rPr/>
      </w:pPr>
      <w:r>
        <w:rPr/>
      </w:r>
    </w:p>
    <w:p>
      <w:pPr>
        <w:pStyle w:val="TextBody"/>
        <w:bidi w:val="0"/>
        <w:spacing w:before="5" w:after="283"/>
        <w:jc w:val="left"/>
        <w:rPr/>
      </w:pPr>
      <w:r>
        <w:rPr/>
      </w:r>
    </w:p>
    <w:tbl>
      <w:tblPr>
        <w:tblW w:w="1320" w:type="dxa"/>
        <w:jc w:val="left"/>
        <w:tblInd w:w="0" w:type="dxa"/>
        <w:tblLayout w:type="fixed"/>
        <w:tblCellMar>
          <w:top w:w="28" w:type="dxa"/>
          <w:left w:w="28" w:type="dxa"/>
          <w:bottom w:w="28" w:type="dxa"/>
          <w:right w:w="28" w:type="dxa"/>
        </w:tblCellMar>
      </w:tblPr>
      <w:tblGrid>
        <w:gridCol w:w="422"/>
        <w:gridCol w:w="369"/>
        <w:gridCol w:w="529"/>
      </w:tblGrid>
      <w:tr>
        <w:trPr/>
        <w:tc>
          <w:tcPr>
            <w:tcW w:w="4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r>
      <w:tr>
        <w:trPr/>
        <w:tc>
          <w:tcPr>
            <w:tcW w:w="132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Name Printed:</w:t>
            </w:r>
          </w:p>
        </w:tc>
      </w:tr>
      <w:tr>
        <w:trPr/>
        <w:tc>
          <w:tcPr>
            <w:tcW w:w="132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spacing w:before="0" w:after="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ind w:left="0" w:right="0" w:firstLine="720"/>
        <w:jc w:val="left"/>
        <w:rPr/>
      </w:pPr>
      <w:r>
        <w:rPr/>
      </w:r>
    </w:p>
    <w:p>
      <w:pPr>
        <w:pStyle w:val="TextBody"/>
        <w:bidi w:val="0"/>
        <w:spacing w:before="240" w:after="160"/>
        <w:jc w:val="left"/>
        <w:rPr/>
      </w:pPr>
      <w:r>
        <w:rPr/>
      </w:r>
    </w:p>
    <w:p>
      <w:pPr>
        <w:pStyle w:val="TextBody"/>
        <w:bidi w:val="0"/>
        <w:spacing w:before="240" w:after="160"/>
        <w:jc w:val="left"/>
        <w:rPr/>
      </w:pPr>
      <w:r>
        <w:rPr/>
      </w:r>
    </w:p>
    <w:p>
      <w:pPr>
        <w:pStyle w:val="TextBody"/>
        <w:bidi w:val="0"/>
        <w:spacing w:before="240" w:after="160"/>
        <w:jc w:val="left"/>
        <w:rPr/>
      </w:pPr>
      <w:r>
        <w:rPr/>
      </w:r>
    </w:p>
    <w:p>
      <w:pPr>
        <w:pStyle w:val="TextBody"/>
        <w:bidi w:val="0"/>
        <w:spacing w:lineRule="auto" w:line="321" w:before="240" w:after="160"/>
        <w:jc w:val="left"/>
        <w:rPr>
          <w:rFonts w:ascii="Times New Roman;serif" w:hAnsi="Times New Roman;serif"/>
          <w:b w:val="false"/>
          <w:i/>
          <w:color w:val="000000"/>
          <w:sz w:val="16"/>
        </w:rPr>
      </w:pPr>
      <w:r>
        <w:rPr>
          <w:rFonts w:ascii="Times New Roman;serif" w:hAnsi="Times New Roman;serif"/>
          <w:b w:val="false"/>
          <w:i/>
          <w:color w:val="000000"/>
          <w:sz w:val="16"/>
        </w:rPr>
        <w:t>This Policy is not intended to create contractual obligations. Employment with the Company is at will, in the U.S. and where otherwise permitted by law, which means that either the Company or the employee may terminate the employment relationship at any time and for any reason, without notice. The Company reserves the right to modify, amend, or terminate this Policy at any time. This Policy supersedes any prior policies of Solstice Advanced Materials or its predecessors, subsidiaries, and affiliates, whether written or oral, on the topics covered in this Policy. This policy is the property of Solstice Advanced Materials Inc. and is published on the Company’s intranet. It is the reader’s responsibility to review the intranet publication of this policy to ensure the most current version is being referenced before taking action based on this printed copy, which may be outdated.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7800"/>
                <wp:effectExtent l="0" t="0" r="0" b="0"/>
                <wp:wrapNone/>
                <wp:docPr id="185" name="Frame17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Subsidiaries of the Registrant</w:t>
      </w:r>
    </w:p>
    <w:tbl>
      <w:tblPr>
        <w:tblW w:w="9794" w:type="dxa"/>
        <w:jc w:val="left"/>
        <w:tblInd w:w="0" w:type="dxa"/>
        <w:tblLayout w:type="fixed"/>
        <w:tblCellMar>
          <w:top w:w="28" w:type="dxa"/>
          <w:left w:w="28" w:type="dxa"/>
          <w:bottom w:w="28" w:type="dxa"/>
          <w:right w:w="28" w:type="dxa"/>
        </w:tblCellMar>
      </w:tblPr>
      <w:tblGrid>
        <w:gridCol w:w="2598"/>
        <w:gridCol w:w="2280"/>
        <w:gridCol w:w="2292"/>
        <w:gridCol w:w="767"/>
        <w:gridCol w:w="767"/>
        <w:gridCol w:w="1090"/>
      </w:tblGrid>
      <w:tr>
        <w:trPr/>
        <w:tc>
          <w:tcPr>
            <w:tcW w:w="2598"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4" w:space="0" w:color="BFBFBF"/>
              <w:left w:val="single" w:sz="4" w:space="0" w:color="BFBFBF"/>
              <w:bottom w:val="single" w:sz="4" w:space="0" w:color="BFBFBF"/>
            </w:tcBorders>
            <w:shd w:fill="FFFFFF" w:val="clear"/>
            <w:tcMar>
              <w:top w:w="30" w:type="dxa"/>
              <w:left w:w="42"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2624" w:type="dxa"/>
            <w:gridSpan w:val="3"/>
            <w:tcBorders>
              <w:top w:val="single" w:sz="4" w:space="0" w:color="BFBFBF"/>
              <w:left w:val="single" w:sz="4" w:space="0" w:color="BFBFBF"/>
              <w:bottom w:val="single" w:sz="4" w:space="0" w:color="BFBFBF"/>
              <w:right w:val="single" w:sz="4" w:space="0" w:color="BFBFBF"/>
            </w:tcBorders>
            <w:shd w:fill="FFFFFF" w:val="clear"/>
            <w:tcMar>
              <w:top w:w="30" w:type="dxa"/>
              <w:left w:w="42" w:type="dxa"/>
              <w:bottom w:w="3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US, Inc.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Canada Advanced Materials SubCo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Trading (Shanghai) Co.,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Japan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Advanced Materials (China) Co.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Specialty Chemicals Seelze GmbH</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Electronic Materials Manufacturing, LLC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ConverDyn, GP</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Electronic Materials (Thailand) Co.,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Solstice AM Middle East General Trading FZE</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Solstice AM (Hong Kong) Limited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Enterprise Management (Shanghai) Co.,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Performance Materials &amp; Technologies Korea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Electronic Chemicals LLC</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(Singapore) Pte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Electronic Materials Taiwan Co.,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Holding LLC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Sinochem Lantian Environmental Protection Materials (Shanghai) Co.,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Advanced Materials Arabia</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Polymers (Australia) Pty Limited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 Athens S.R.L.</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Riedel-de Haën Sozialhilfe GmbH</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Authentication Technologies LLC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 Athens Pty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AM GmbH</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Canada Advanced Materials NewCo ULC</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Canada Advanced Materials TC ULC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Alberta, Canada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Czech Republic Athens s.r.o.</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France Athens SAS</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Deutschland II GmbH</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Deutschland III GmbH</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AM Holding Limited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AM Mexico Athens, S. de R.L. de C.V.</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Poland Athens spolka z ograniczona odpowiedzialnoscia</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Advanced Materials RO S.R.L.</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Romania</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 Advanced Materials Athens, S.L.</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Swiss Athens GmbH</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7170" w:type="dxa"/>
            <w:gridSpan w:val="3"/>
            <w:tcBorders>
              <w:top w:val="single" w:sz="4" w:space="0" w:color="BFBFBF"/>
              <w:left w:val="single" w:sz="4" w:space="0" w:color="BFBFBF"/>
            </w:tcBorders>
            <w:shd w:fill="FFFFFF" w:val="clear"/>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TÜRKIYE İLERİ MALZEME TEKNOLOJİLERİ LİMİTED ŞİRKETİ</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7170"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US Athens FinCo LLC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US CFC HoldCo LLC</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7170" w:type="dxa"/>
            <w:gridSpan w:val="3"/>
            <w:tcBorders>
              <w:top w:val="single" w:sz="4" w:space="0" w:color="BFBFBF"/>
              <w:left w:val="single" w:sz="4" w:space="0" w:color="BFBFBF"/>
              <w:bottom w:val="single" w:sz="4" w:space="0" w:color="BFBFBF"/>
            </w:tcBorders>
            <w:shd w:fill="DBDBDB" w:val="clear"/>
            <w:tcMar>
              <w:top w:w="30" w:type="dxa"/>
              <w:left w:w="42"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 Athens LLC</w:t>
            </w:r>
          </w:p>
        </w:tc>
        <w:tc>
          <w:tcPr>
            <w:tcW w:w="2624" w:type="dxa"/>
            <w:gridSpan w:val="3"/>
            <w:tcBorders>
              <w:top w:val="single" w:sz="4" w:space="0" w:color="BFBFBF"/>
              <w:left w:val="single" w:sz="4" w:space="0" w:color="BFBFBF"/>
              <w:bottom w:val="single" w:sz="4" w:space="0" w:color="BFBFBF"/>
              <w:right w:val="single" w:sz="4" w:space="0" w:color="BFBFBF"/>
            </w:tcBorders>
            <w:shd w:fill="DBDBDB" w:val="clear"/>
            <w:tcMar>
              <w:top w:w="30" w:type="dxa"/>
              <w:left w:w="42"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8638" w:type="dxa"/>
        <w:jc w:val="left"/>
        <w:tblInd w:w="0" w:type="dxa"/>
        <w:tblLayout w:type="fixed"/>
        <w:tblCellMar>
          <w:top w:w="28" w:type="dxa"/>
          <w:left w:w="28" w:type="dxa"/>
          <w:bottom w:w="28" w:type="dxa"/>
          <w:right w:w="28" w:type="dxa"/>
        </w:tblCellMar>
      </w:tblPr>
      <w:tblGrid>
        <w:gridCol w:w="2177"/>
        <w:gridCol w:w="1915"/>
        <w:gridCol w:w="1922"/>
        <w:gridCol w:w="767"/>
        <w:gridCol w:w="767"/>
        <w:gridCol w:w="1090"/>
      </w:tblGrid>
      <w:tr>
        <w:trPr/>
        <w:tc>
          <w:tcPr>
            <w:tcW w:w="2177"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Sinochem Lantian New Materials Co., Ltd.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Niedersächsische Gesellschaft zur Endablagerung von Sonderabfall mbH</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Quimobasicos, S.A. de C.V.</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Electronic Materials, Inc.</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Amherstburg Land Holdings Limited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Federal, Canada</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Hornets Singapore Pte.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Allied Chemical Nuclear Products, Inc.</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Asahi-Schwebel (Taiwan) Co., Ltd.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Athens do Brasil Ltda.</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Riedel-de Haën GmbH</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UK LIMITED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Fluorine Products Europe B.V.</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 Athens</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6014" w:type="dxa"/>
            <w:gridSpan w:val="3"/>
            <w:tcBorders>
              <w:top w:val="single" w:sz="4" w:space="0" w:color="BFBFBF"/>
              <w:left w:val="single" w:sz="4" w:space="0" w:color="BFBFBF"/>
            </w:tcBorders>
            <w:shd w:fill="DBDBDB"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AdvInnov Materials India Private Limited</w:t>
            </w:r>
          </w:p>
        </w:tc>
        <w:tc>
          <w:tcPr>
            <w:tcW w:w="2624" w:type="dxa"/>
            <w:gridSpan w:val="3"/>
            <w:tcBorders>
              <w:top w:val="single" w:sz="4" w:space="0" w:color="BFBFBF"/>
              <w:left w:val="single" w:sz="4" w:space="0" w:color="BFBFBF"/>
              <w:right w:val="single" w:sz="4" w:space="0" w:color="BFBFBF"/>
            </w:tcBorders>
            <w:shd w:fill="DBDBDB"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014" w:type="dxa"/>
            <w:gridSpan w:val="3"/>
            <w:tcBorders>
              <w:top w:val="single" w:sz="4" w:space="0" w:color="BFBFBF"/>
              <w:left w:val="single" w:sz="4" w:space="0" w:color="BFBFBF"/>
            </w:tcBorders>
            <w:shd w:fill="FFFFFF" w:val="clear"/>
            <w:tcMar>
              <w:top w:w="30" w:type="dxa"/>
              <w:left w:w="42"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Solstice Advanced Materials Ireland Limited</w:t>
            </w:r>
          </w:p>
        </w:tc>
        <w:tc>
          <w:tcPr>
            <w:tcW w:w="2624" w:type="dxa"/>
            <w:gridSpan w:val="3"/>
            <w:tcBorders>
              <w:top w:val="single" w:sz="4" w:space="0" w:color="BFBFBF"/>
              <w:left w:val="single" w:sz="4" w:space="0" w:color="BFBFBF"/>
              <w:right w:val="single" w:sz="4" w:space="0" w:color="BFBFBF"/>
            </w:tcBorders>
            <w:shd w:fill="FFFFFF" w:val="clear"/>
            <w:tcMar>
              <w:top w:w="30" w:type="dxa"/>
              <w:left w:w="42"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014" w:type="dxa"/>
            <w:gridSpan w:val="3"/>
            <w:tcBorders>
              <w:top w:val="single" w:sz="4" w:space="0" w:color="BFBFBF"/>
              <w:left w:val="single" w:sz="4" w:space="0" w:color="BFBFBF"/>
              <w:bottom w:val="single" w:sz="4" w:space="0" w:color="BFBFBF"/>
            </w:tcBorders>
            <w:shd w:fill="DBDBDB" w:val="clear"/>
            <w:tcMar>
              <w:top w:w="30" w:type="dxa"/>
              <w:left w:w="42"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Honeywell Energy Services Inc.</w:t>
            </w:r>
          </w:p>
        </w:tc>
        <w:tc>
          <w:tcPr>
            <w:tcW w:w="2624" w:type="dxa"/>
            <w:gridSpan w:val="3"/>
            <w:tcBorders>
              <w:top w:val="single" w:sz="4" w:space="0" w:color="BFBFBF"/>
              <w:left w:val="single" w:sz="4" w:space="0" w:color="BFBFBF"/>
              <w:bottom w:val="single" w:sz="4" w:space="0" w:color="BFBFBF"/>
              <w:right w:val="single" w:sz="4" w:space="0" w:color="BFBFBF"/>
            </w:tcBorders>
            <w:shd w:fill="DBDBDB" w:val="clear"/>
            <w:tcMar>
              <w:top w:w="30" w:type="dxa"/>
              <w:left w:w="42"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names of certain other subsidiaries have been omitted because such subsidiaries, considered in the aggregate as a single subsidiary, would not constitute a significant subsidiary, as defined by Item 1-02 of Regulation S-K.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 333-291158 on Form S-8 of our report dated February 19, 2026, relating to the financial statements of Solstice Advanced Materials Inc., appearing in this Annual Report on Form 10-K for the year ended December 31, 2025.</w:t>
      </w:r>
    </w:p>
    <w:p>
      <w:pPr>
        <w:pStyle w:val="TextBody"/>
        <w:bidi w:val="0"/>
        <w:spacing w:lineRule="auto" w:line="288" w:before="0" w:after="120"/>
        <w:jc w:val="left"/>
        <w:rPr>
          <w:color w:val="000000"/>
        </w:rPr>
      </w:pPr>
      <w:r>
        <w:rPr>
          <w:color w:val="000000"/>
        </w:rPr>
        <w:t>            </w:t>
      </w:r>
    </w:p>
    <w:tbl>
      <w:tblPr>
        <w:tblW w:w="2816" w:type="dxa"/>
        <w:jc w:val="left"/>
        <w:tblInd w:w="0" w:type="dxa"/>
        <w:tblLayout w:type="fixed"/>
        <w:tblCellMar>
          <w:top w:w="28" w:type="dxa"/>
          <w:left w:w="28" w:type="dxa"/>
          <w:bottom w:w="28" w:type="dxa"/>
          <w:right w:w="28" w:type="dxa"/>
        </w:tblCellMar>
      </w:tblPr>
      <w:tblGrid>
        <w:gridCol w:w="885"/>
        <w:gridCol w:w="777"/>
        <w:gridCol w:w="782"/>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Deloitte &amp; Touche LLP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Morristown, New Jersey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David Sewell,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Solstice Advanced Materials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color w:val="000000"/>
        </w:rPr>
      </w:pPr>
      <w:r>
        <w:rPr>
          <w:color w:val="000000"/>
        </w:rPr>
        <w:t>            </w:t>
      </w:r>
    </w:p>
    <w:tbl>
      <w:tblPr>
        <w:tblW w:w="620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34"/>
        <w:gridCol w:w="134"/>
        <w:gridCol w:w="136"/>
        <w:gridCol w:w="939"/>
        <w:gridCol w:w="939"/>
        <w:gridCol w:w="1332"/>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February 19,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Tina Pierce,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Solstice Advanced Materials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before="0" w:after="120"/>
        <w:jc w:val="left"/>
        <w:rPr/>
      </w:pPr>
      <w:r>
        <w:rPr/>
      </w:r>
    </w:p>
    <w:tbl>
      <w:tblPr>
        <w:tblW w:w="713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34"/>
        <w:gridCol w:w="134"/>
        <w:gridCol w:w="136"/>
        <w:gridCol w:w="1212"/>
        <w:gridCol w:w="1212"/>
        <w:gridCol w:w="1716"/>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February 19,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Solstice Advanced Materials Inc. (the “Company”) for the year ended December 31, 2025, as filed with the Securities and Exchange Commission on the date hereof (the “Report”), I, David Sewell, President and Chief Executive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both"/>
        <w:rPr/>
      </w:pPr>
      <w:r>
        <w:rPr/>
      </w:r>
    </w:p>
    <w:tbl>
      <w:tblPr>
        <w:tblW w:w="620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34"/>
        <w:gridCol w:w="134"/>
        <w:gridCol w:w="136"/>
        <w:gridCol w:w="939"/>
        <w:gridCol w:w="939"/>
        <w:gridCol w:w="1332"/>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February 19,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Solstice Advanced Materials Inc. (the “Company”) for the year ended December 31, 2025, as filed with the Securities and Exchange Commission on the date hereof (the “Report”), I, Tina Pierce, Senior Vice President and Chief Financial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120"/>
        <w:jc w:val="both"/>
        <w:rPr/>
      </w:pPr>
      <w:r>
        <w:rPr/>
      </w:r>
    </w:p>
    <w:tbl>
      <w:tblPr>
        <w:tblW w:w="713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34"/>
        <w:gridCol w:w="134"/>
        <w:gridCol w:w="136"/>
        <w:gridCol w:w="1212"/>
        <w:gridCol w:w="1212"/>
        <w:gridCol w:w="1716"/>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February 19, 2026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97.1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321" w:before="0" w:after="160"/>
        <w:jc w:val="center"/>
        <w:rPr>
          <w:rFonts w:ascii="Times New Roman;serif" w:hAnsi="Times New Roman;serif"/>
          <w:b/>
          <w:color w:val="000000"/>
          <w:sz w:val="20"/>
          <w:u w:val="single"/>
        </w:rPr>
      </w:pPr>
      <w:r>
        <w:rPr>
          <w:rFonts w:ascii="Times New Roman;serif" w:hAnsi="Times New Roman;serif"/>
          <w:b/>
          <w:color w:val="000000"/>
          <w:sz w:val="20"/>
          <w:u w:val="single"/>
        </w:rPr>
        <w:t>Clawback Policy</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Purpose</w:t>
      </w:r>
      <w:r>
        <w:rPr>
          <w:rFonts w:ascii="Times New Roman;serif" w:hAnsi="Times New Roman;serif"/>
          <w:b w:val="false"/>
          <w:color w:val="000000"/>
          <w:sz w:val="20"/>
        </w:rPr>
        <w:t xml:space="preserve">.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the Acknowledgment and Acceptance Form attached hereto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Acknowledgment and Acceptance Form and regardless of whether or not such Executive Officer is aware of his or her status as such. This Policy is designed to comply with the Clawback Rules.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Administration</w:t>
      </w:r>
      <w:r>
        <w:rPr>
          <w:rFonts w:ascii="Times New Roman;serif" w:hAnsi="Times New Roman;serif"/>
          <w:b w:val="false"/>
          <w:color w:val="000000"/>
          <w:sz w:val="20"/>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Definitions</w:t>
      </w:r>
      <w:r>
        <w:rPr>
          <w:rFonts w:ascii="Times New Roman;serif" w:hAnsi="Times New Roman;serif"/>
          <w:b w:val="false"/>
          <w:color w:val="000000"/>
          <w:sz w:val="20"/>
        </w:rPr>
        <w:t>. For purposes of this Policy, the following capitalized terms shall have the meanings set forth below.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color w:val="000000"/>
        </w:rPr>
        <w:t>“</w:t>
      </w:r>
      <w:r>
        <w:rPr>
          <w:rFonts w:ascii="Times New Roman;serif" w:hAnsi="Times New Roman;serif"/>
          <w:b/>
          <w:i/>
          <w:color w:val="000000"/>
          <w:sz w:val="20"/>
        </w:rPr>
        <w:t>Accounting Restatement</w:t>
      </w:r>
      <w:r>
        <w:rPr>
          <w:color w:val="000000"/>
        </w:rPr>
        <w:t xml:space="preserve">” </w:t>
      </w:r>
      <w:r>
        <w:rPr>
          <w:rFonts w:ascii="Times New Roman;serif" w:hAnsi="Times New Roman;serif"/>
          <w:b w:val="false"/>
          <w:color w:val="000000"/>
          <w:sz w:val="20"/>
        </w:rPr>
        <w:t>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pStyle w:val="TextBody"/>
        <w:bidi w:val="0"/>
        <w:spacing w:lineRule="auto" w:line="288" w:before="0" w:after="0"/>
        <w:ind w:left="0" w:right="0" w:hanging="360"/>
        <w:jc w:val="both"/>
        <w:rPr/>
      </w:pPr>
      <w:r>
        <w:rPr>
          <w:rFonts w:ascii="Times New Roman;serif" w:hAnsi="Times New Roman;serif"/>
          <w:b w:val="false"/>
          <w:color w:val="000000"/>
          <w:sz w:val="20"/>
        </w:rPr>
        <w:t>b.</w:t>
      </w:r>
      <w:r>
        <w:rPr>
          <w:color w:val="000000"/>
        </w:rPr>
        <w:t>“</w:t>
      </w:r>
      <w:r>
        <w:rPr>
          <w:rFonts w:ascii="Times New Roman;serif" w:hAnsi="Times New Roman;serif"/>
          <w:b/>
          <w:i/>
          <w:color w:val="000000"/>
          <w:sz w:val="20"/>
        </w:rPr>
        <w:t>Administrator</w:t>
      </w:r>
      <w:r>
        <w:rPr>
          <w:color w:val="000000"/>
        </w:rPr>
        <w:t xml:space="preserve">” </w:t>
      </w:r>
      <w:r>
        <w:rPr>
          <w:rFonts w:ascii="Times New Roman;serif" w:hAnsi="Times New Roman;serif"/>
          <w:b w:val="false"/>
          <w:color w:val="000000"/>
          <w:sz w:val="20"/>
        </w:rPr>
        <w:t>shall mean the Committee or any other committee designated by the Board to administer the Policy, and in the absence of such designation, the Board.</w:t>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color w:val="000000"/>
        </w:rPr>
        <w:t>“</w:t>
      </w:r>
      <w:r>
        <w:rPr>
          <w:rFonts w:ascii="Times New Roman;serif" w:hAnsi="Times New Roman;serif"/>
          <w:b/>
          <w:i/>
          <w:color w:val="000000"/>
          <w:sz w:val="20"/>
        </w:rPr>
        <w:t>Board</w:t>
      </w:r>
      <w:r>
        <w:rPr>
          <w:color w:val="000000"/>
        </w:rPr>
        <w:t xml:space="preserve">” </w:t>
      </w:r>
      <w:r>
        <w:rPr>
          <w:rFonts w:ascii="Times New Roman;serif" w:hAnsi="Times New Roman;serif"/>
          <w:b w:val="false"/>
          <w:color w:val="000000"/>
          <w:sz w:val="20"/>
        </w:rPr>
        <w:t>shall mean the Board of Directors of the Company.</w:t>
      </w:r>
    </w:p>
    <w:p>
      <w:pPr>
        <w:pStyle w:val="TextBody"/>
        <w:bidi w:val="0"/>
        <w:spacing w:lineRule="auto" w:line="288" w:before="0" w:after="0"/>
        <w:ind w:left="0" w:right="0" w:hanging="360"/>
        <w:jc w:val="both"/>
        <w:rPr/>
      </w:pPr>
      <w:r>
        <w:rPr>
          <w:rFonts w:ascii="Times New Roman;serif" w:hAnsi="Times New Roman;serif"/>
          <w:b w:val="false"/>
          <w:color w:val="000000"/>
          <w:sz w:val="20"/>
        </w:rPr>
        <w:t>d.</w:t>
      </w:r>
      <w:r>
        <w:rPr>
          <w:color w:val="000000"/>
        </w:rPr>
        <w:t>“</w:t>
      </w:r>
      <w:r>
        <w:rPr>
          <w:rFonts w:ascii="Times New Roman;serif" w:hAnsi="Times New Roman;serif"/>
          <w:b/>
          <w:i/>
          <w:color w:val="000000"/>
          <w:sz w:val="20"/>
        </w:rPr>
        <w:t>Clawback Eligible Incentive Compensation</w:t>
      </w:r>
      <w:r>
        <w:rPr>
          <w:color w:val="000000"/>
        </w:rPr>
        <w:t xml:space="preserve">” </w:t>
      </w:r>
      <w:r>
        <w:rPr>
          <w:rFonts w:ascii="Times New Roman;serif" w:hAnsi="Times New Roman;serif"/>
          <w:b w:val="false"/>
          <w:color w:val="000000"/>
          <w:sz w:val="20"/>
        </w:rPr>
        <w:t>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pStyle w:val="TextBody"/>
        <w:bidi w:val="0"/>
        <w:spacing w:lineRule="auto" w:line="288" w:before="0" w:after="0"/>
        <w:ind w:left="0" w:right="0" w:hanging="360"/>
        <w:jc w:val="both"/>
        <w:rPr/>
      </w:pPr>
      <w:r>
        <w:rPr>
          <w:rFonts w:ascii="Times New Roman;serif" w:hAnsi="Times New Roman;serif"/>
          <w:b w:val="false"/>
          <w:color w:val="000000"/>
          <w:sz w:val="20"/>
        </w:rPr>
        <w:t>e.</w:t>
      </w:r>
      <w:r>
        <w:rPr>
          <w:color w:val="000000"/>
        </w:rPr>
        <w:t>“</w:t>
      </w:r>
      <w:r>
        <w:rPr>
          <w:rFonts w:ascii="Times New Roman;serif" w:hAnsi="Times New Roman;serif"/>
          <w:b/>
          <w:i/>
          <w:color w:val="000000"/>
          <w:sz w:val="20"/>
        </w:rPr>
        <w:t>Clawback Period</w:t>
      </w:r>
      <w:r>
        <w:rPr>
          <w:color w:val="000000"/>
        </w:rPr>
        <w:t xml:space="preserve">” </w:t>
      </w:r>
      <w:r>
        <w:rPr>
          <w:rFonts w:ascii="Times New Roman;serif" w:hAnsi="Times New Roman;serif"/>
          <w:b w:val="false"/>
          <w:color w:val="000000"/>
          <w:sz w:val="20"/>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lineRule="auto" w:line="288" w:before="0" w:after="0"/>
        <w:ind w:left="0" w:right="0" w:hanging="360"/>
        <w:jc w:val="both"/>
        <w:rPr/>
      </w:pPr>
      <w:r>
        <w:rPr>
          <w:rFonts w:ascii="Times New Roman;serif" w:hAnsi="Times New Roman;serif"/>
          <w:b w:val="false"/>
          <w:color w:val="000000"/>
          <w:sz w:val="20"/>
        </w:rPr>
        <w:t>f.</w:t>
      </w:r>
      <w:r>
        <w:rPr>
          <w:color w:val="000000"/>
        </w:rPr>
        <w:t>“</w:t>
      </w:r>
      <w:r>
        <w:rPr>
          <w:rFonts w:ascii="Times New Roman;serif" w:hAnsi="Times New Roman;serif"/>
          <w:b/>
          <w:i/>
          <w:color w:val="000000"/>
          <w:sz w:val="20"/>
        </w:rPr>
        <w:t>Clawback Rules</w:t>
      </w:r>
      <w:r>
        <w:rPr>
          <w:color w:val="000000"/>
        </w:rPr>
        <w:t xml:space="preserve">” </w:t>
      </w:r>
      <w:r>
        <w:rPr>
          <w:rFonts w:ascii="Times New Roman;serif" w:hAnsi="Times New Roman;serif"/>
          <w:b w:val="false"/>
          <w:color w:val="000000"/>
          <w:sz w:val="20"/>
        </w:rPr>
        <w:t>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pStyle w:val="TextBody"/>
        <w:bidi w:val="0"/>
        <w:spacing w:lineRule="auto" w:line="288" w:before="0" w:after="0"/>
        <w:ind w:left="0" w:right="0" w:hanging="360"/>
        <w:jc w:val="both"/>
        <w:rPr/>
      </w:pPr>
      <w:r>
        <w:rPr>
          <w:rFonts w:ascii="Times New Roman;serif" w:hAnsi="Times New Roman;serif"/>
          <w:b w:val="false"/>
          <w:color w:val="000000"/>
          <w:sz w:val="20"/>
        </w:rPr>
        <w:t>g.</w:t>
      </w:r>
      <w:r>
        <w:rPr>
          <w:color w:val="000000"/>
        </w:rPr>
        <w:t>“</w:t>
      </w:r>
      <w:r>
        <w:rPr>
          <w:rFonts w:ascii="Times New Roman;serif" w:hAnsi="Times New Roman;serif"/>
          <w:b/>
          <w:i/>
          <w:color w:val="000000"/>
          <w:sz w:val="20"/>
        </w:rPr>
        <w:t>Committee</w:t>
      </w:r>
      <w:r>
        <w:rPr>
          <w:color w:val="000000"/>
        </w:rPr>
        <w:t xml:space="preserve">” </w:t>
      </w:r>
      <w:r>
        <w:rPr>
          <w:rFonts w:ascii="Times New Roman;serif" w:hAnsi="Times New Roman;serif"/>
          <w:b w:val="false"/>
          <w:color w:val="000000"/>
          <w:sz w:val="20"/>
        </w:rPr>
        <w:t>shall mean the Compensation Committee of the Board.</w:t>
      </w:r>
    </w:p>
    <w:p>
      <w:pPr>
        <w:pStyle w:val="TextBody"/>
        <w:bidi w:val="0"/>
        <w:spacing w:lineRule="auto" w:line="288" w:before="0" w:after="0"/>
        <w:ind w:left="0" w:right="0" w:hanging="360"/>
        <w:jc w:val="both"/>
        <w:rPr/>
      </w:pPr>
      <w:r>
        <w:rPr>
          <w:rFonts w:ascii="Times New Roman;serif" w:hAnsi="Times New Roman;serif"/>
          <w:b w:val="false"/>
          <w:color w:val="000000"/>
          <w:sz w:val="20"/>
        </w:rPr>
        <w:t>h.</w:t>
      </w:r>
      <w:r>
        <w:rPr>
          <w:color w:val="000000"/>
        </w:rPr>
        <w:t>“</w:t>
      </w:r>
      <w:r>
        <w:rPr>
          <w:rFonts w:ascii="Times New Roman;serif" w:hAnsi="Times New Roman;serif"/>
          <w:b/>
          <w:i/>
          <w:color w:val="000000"/>
          <w:sz w:val="20"/>
        </w:rPr>
        <w:t>Company</w:t>
      </w:r>
      <w:r>
        <w:rPr>
          <w:color w:val="000000"/>
        </w:rPr>
        <w:t xml:space="preserve">” </w:t>
      </w:r>
      <w:r>
        <w:rPr>
          <w:rFonts w:ascii="Times New Roman;serif" w:hAnsi="Times New Roman;serif"/>
          <w:b w:val="false"/>
          <w:color w:val="000000"/>
          <w:sz w:val="20"/>
        </w:rPr>
        <w:t>shall mean Solstice Advanced Materials Inc. (and as the Administrator determines is applicable, together with each of its direct and indirect subsidiaries).</w:t>
      </w:r>
    </w:p>
    <w:p>
      <w:pPr>
        <w:pStyle w:val="TextBody"/>
        <w:bidi w:val="0"/>
        <w:spacing w:lineRule="auto" w:line="288"/>
        <w:ind w:left="0" w:right="0" w:hanging="360"/>
        <w:jc w:val="both"/>
        <w:rPr/>
      </w:pPr>
      <w:r>
        <w:rPr>
          <w:rFonts w:ascii="Times New Roman;serif" w:hAnsi="Times New Roman;serif"/>
          <w:b w:val="false"/>
          <w:color w:val="000000"/>
          <w:sz w:val="20"/>
        </w:rPr>
        <w:t>i.</w:t>
      </w:r>
      <w:r>
        <w:rPr>
          <w:color w:val="000000"/>
        </w:rPr>
        <w:t>“</w:t>
      </w:r>
      <w:r>
        <w:rPr>
          <w:rFonts w:ascii="Times New Roman;serif" w:hAnsi="Times New Roman;serif"/>
          <w:b/>
          <w:i/>
          <w:color w:val="000000"/>
          <w:sz w:val="20"/>
        </w:rPr>
        <w:t>Effective Date</w:t>
      </w:r>
      <w:r>
        <w:rPr>
          <w:color w:val="000000"/>
        </w:rPr>
        <w:t xml:space="preserve">” </w:t>
      </w:r>
      <w:r>
        <w:rPr>
          <w:rFonts w:ascii="Times New Roman;serif" w:hAnsi="Times New Roman;serif"/>
          <w:b w:val="false"/>
          <w:color w:val="000000"/>
          <w:sz w:val="20"/>
        </w:rPr>
        <w:t>shall mean October 30, 2025.</w:t>
      </w:r>
    </w:p>
    <w:p>
      <w:pPr>
        <w:pStyle w:val="TextBody"/>
        <w:bidi w:val="0"/>
        <w:spacing w:before="0" w:after="16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j.</w:t>
      </w:r>
      <w:r>
        <w:rPr>
          <w:color w:val="000000"/>
        </w:rPr>
        <w:t>“</w:t>
      </w:r>
      <w:r>
        <w:rPr>
          <w:rFonts w:ascii="Times New Roman;serif" w:hAnsi="Times New Roman;serif"/>
          <w:b/>
          <w:i/>
          <w:color w:val="000000"/>
          <w:sz w:val="20"/>
        </w:rPr>
        <w:t>Erroneously Awarded Compensation</w:t>
      </w:r>
      <w:r>
        <w:rPr>
          <w:color w:val="000000"/>
        </w:rPr>
        <w:t xml:space="preserve">” </w:t>
      </w:r>
      <w:r>
        <w:rPr>
          <w:rFonts w:ascii="Times New Roman;serif" w:hAnsi="Times New Roman;serif"/>
          <w:b w:val="false"/>
          <w:color w:val="000000"/>
          <w:sz w:val="20"/>
        </w:rPr>
        <w:t>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pStyle w:val="TextBody"/>
        <w:bidi w:val="0"/>
        <w:spacing w:lineRule="auto" w:line="288" w:before="0" w:after="0"/>
        <w:ind w:left="0" w:right="0" w:hanging="360"/>
        <w:jc w:val="both"/>
        <w:rPr/>
      </w:pPr>
      <w:r>
        <w:rPr>
          <w:rFonts w:ascii="Times New Roman;serif" w:hAnsi="Times New Roman;serif"/>
          <w:b w:val="false"/>
          <w:color w:val="000000"/>
          <w:sz w:val="20"/>
        </w:rPr>
        <w:t>k.</w:t>
      </w:r>
      <w:r>
        <w:rPr>
          <w:color w:val="000000"/>
        </w:rPr>
        <w:t>“</w:t>
      </w:r>
      <w:r>
        <w:rPr>
          <w:rFonts w:ascii="Times New Roman;serif" w:hAnsi="Times New Roman;serif"/>
          <w:b/>
          <w:i/>
          <w:color w:val="000000"/>
          <w:sz w:val="20"/>
        </w:rPr>
        <w:t>Executive Officer</w:t>
      </w:r>
      <w:r>
        <w:rPr>
          <w:color w:val="000000"/>
        </w:rPr>
        <w:t xml:space="preserve">” </w:t>
      </w:r>
      <w:r>
        <w:rPr>
          <w:rFonts w:ascii="Times New Roman;serif" w:hAnsi="Times New Roman;serif"/>
          <w:b w:val="false"/>
          <w:color w:val="000000"/>
          <w:sz w:val="20"/>
        </w:rPr>
        <w:t>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w:t>
      </w:r>
    </w:p>
    <w:p>
      <w:pPr>
        <w:pStyle w:val="TextBody"/>
        <w:bidi w:val="0"/>
        <w:spacing w:lineRule="auto" w:line="288" w:before="0" w:after="0"/>
        <w:ind w:left="0" w:right="0" w:hanging="360"/>
        <w:jc w:val="both"/>
        <w:rPr/>
      </w:pPr>
      <w:r>
        <w:rPr>
          <w:rFonts w:ascii="Times New Roman;serif" w:hAnsi="Times New Roman;serif"/>
          <w:b w:val="false"/>
          <w:color w:val="000000"/>
          <w:sz w:val="20"/>
        </w:rPr>
        <w:t>l.</w:t>
      </w:r>
      <w:r>
        <w:rPr>
          <w:color w:val="000000"/>
        </w:rPr>
        <w:t>“</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shall mean the Securities Exchange Act of 1934, as amended, and the rules and regulations promulgated thereunder.</w:t>
      </w:r>
    </w:p>
    <w:p>
      <w:pPr>
        <w:pStyle w:val="TextBody"/>
        <w:bidi w:val="0"/>
        <w:spacing w:lineRule="auto" w:line="288" w:before="0" w:after="0"/>
        <w:ind w:left="0" w:right="0" w:hanging="360"/>
        <w:jc w:val="both"/>
        <w:rPr/>
      </w:pPr>
      <w:r>
        <w:rPr>
          <w:rFonts w:ascii="Times New Roman;serif" w:hAnsi="Times New Roman;serif"/>
          <w:b w:val="false"/>
          <w:color w:val="000000"/>
          <w:sz w:val="20"/>
        </w:rPr>
        <w:t>m.</w:t>
      </w:r>
      <w:r>
        <w:rPr>
          <w:color w:val="000000"/>
        </w:rPr>
        <w:t>“</w:t>
      </w:r>
      <w:r>
        <w:rPr>
          <w:rFonts w:ascii="Times New Roman;serif" w:hAnsi="Times New Roman;serif"/>
          <w:b/>
          <w:i/>
          <w:color w:val="000000"/>
          <w:sz w:val="20"/>
        </w:rPr>
        <w:t>Financial Reporting Measures</w:t>
      </w:r>
      <w:r>
        <w:rPr>
          <w:color w:val="000000"/>
        </w:rPr>
        <w:t xml:space="preserve">” </w:t>
      </w:r>
      <w:r>
        <w:rPr>
          <w:rFonts w:ascii="Times New Roman;serif" w:hAnsi="Times New Roman;serif"/>
          <w:b w:val="false"/>
          <w:color w:val="000000"/>
          <w:sz w:val="20"/>
        </w:rPr>
        <w:t>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pStyle w:val="TextBody"/>
        <w:bidi w:val="0"/>
        <w:spacing w:lineRule="auto" w:line="288" w:before="0" w:after="0"/>
        <w:ind w:left="0" w:right="0" w:hanging="360"/>
        <w:jc w:val="both"/>
        <w:rPr/>
      </w:pPr>
      <w:r>
        <w:rPr>
          <w:rFonts w:ascii="Times New Roman;serif" w:hAnsi="Times New Roman;serif"/>
          <w:b w:val="false"/>
          <w:color w:val="000000"/>
          <w:sz w:val="20"/>
        </w:rPr>
        <w:t>n.</w:t>
      </w:r>
      <w:r>
        <w:rPr>
          <w:color w:val="000000"/>
        </w:rPr>
        <w:t>“</w:t>
      </w:r>
      <w:r>
        <w:rPr>
          <w:rFonts w:ascii="Times New Roman;serif" w:hAnsi="Times New Roman;serif"/>
          <w:b/>
          <w:i/>
          <w:color w:val="000000"/>
          <w:sz w:val="20"/>
        </w:rPr>
        <w:t>Incentive-based Compensation</w:t>
      </w:r>
      <w:r>
        <w:rPr>
          <w:color w:val="000000"/>
        </w:rPr>
        <w:t xml:space="preserve">” </w:t>
      </w:r>
      <w:r>
        <w:rPr>
          <w:rFonts w:ascii="Times New Roman;serif" w:hAnsi="Times New Roman;serif"/>
          <w:b w:val="false"/>
          <w:color w:val="000000"/>
          <w:sz w:val="20"/>
        </w:rPr>
        <w:t>shall mean any compensation that is granted, earned or vested based wholly or in part upon the attainment of a Financial Reporting Measure.</w:t>
      </w:r>
    </w:p>
    <w:p>
      <w:pPr>
        <w:pStyle w:val="TextBody"/>
        <w:bidi w:val="0"/>
        <w:spacing w:lineRule="auto" w:line="288" w:before="0" w:after="0"/>
        <w:ind w:left="0" w:right="0" w:hanging="360"/>
        <w:jc w:val="both"/>
        <w:rPr/>
      </w:pPr>
      <w:r>
        <w:rPr>
          <w:rFonts w:ascii="Times New Roman;serif" w:hAnsi="Times New Roman;serif"/>
          <w:b w:val="false"/>
          <w:color w:val="000000"/>
          <w:sz w:val="20"/>
        </w:rPr>
        <w:t>o.</w:t>
      </w:r>
      <w:r>
        <w:rPr>
          <w:color w:val="000000"/>
        </w:rPr>
        <w:t>“</w:t>
      </w:r>
      <w:r>
        <w:rPr>
          <w:rFonts w:ascii="Times New Roman;serif" w:hAnsi="Times New Roman;serif"/>
          <w:b/>
          <w:i/>
          <w:color w:val="000000"/>
          <w:sz w:val="20"/>
        </w:rPr>
        <w:t>Impracticable</w:t>
      </w:r>
      <w:r>
        <w:rPr>
          <w:color w:val="000000"/>
        </w:rPr>
        <w:t xml:space="preserve">” </w:t>
      </w:r>
      <w:r>
        <w:rPr>
          <w:rFonts w:ascii="Times New Roman;serif" w:hAnsi="Times New Roman;serif"/>
          <w:b w:val="false"/>
          <w:color w:val="000000"/>
          <w:sz w:val="20"/>
        </w:rPr>
        <w:t>shall mean, in accordance with the good faith determination of the Committee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the Company’s home country law where that law was adopted prior to November 28, 2022, provided that, before concluding that it would be impracticable to recover any amount of Erroneously Awarded Compensation based on violation of home country law, the Company has obtained an opinion of home country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88" w:before="0" w:after="0"/>
        <w:ind w:left="0" w:right="0" w:hanging="360"/>
        <w:jc w:val="both"/>
        <w:rPr/>
      </w:pPr>
      <w:r>
        <w:rPr>
          <w:rFonts w:ascii="Times New Roman;serif" w:hAnsi="Times New Roman;serif"/>
          <w:b w:val="false"/>
          <w:color w:val="000000"/>
          <w:sz w:val="20"/>
        </w:rPr>
        <w:t>p.</w:t>
      </w:r>
      <w:r>
        <w:rPr>
          <w:color w:val="000000"/>
        </w:rPr>
        <w:t>“</w:t>
      </w:r>
      <w:r>
        <w:rPr>
          <w:rFonts w:ascii="Times New Roman;serif" w:hAnsi="Times New Roman;serif"/>
          <w:b/>
          <w:i/>
          <w:color w:val="000000"/>
          <w:sz w:val="20"/>
        </w:rPr>
        <w:t>Listing Exchange</w:t>
      </w:r>
      <w:r>
        <w:rPr>
          <w:color w:val="000000"/>
        </w:rPr>
        <w:t xml:space="preserve">” </w:t>
      </w:r>
      <w:r>
        <w:rPr>
          <w:rFonts w:ascii="Times New Roman;serif" w:hAnsi="Times New Roman;serif"/>
          <w:b w:val="false"/>
          <w:color w:val="000000"/>
          <w:sz w:val="20"/>
        </w:rPr>
        <w:t>shall mean the Nasdaq Stock Market or such other U.S. national securities exchange or national securities association on which the Company’s securities are listed.</w:t>
      </w:r>
    </w:p>
    <w:p>
      <w:pPr>
        <w:pStyle w:val="TextBody"/>
        <w:bidi w:val="0"/>
        <w:spacing w:lineRule="auto" w:line="288" w:before="0" w:after="0"/>
        <w:ind w:left="0" w:right="0" w:hanging="360"/>
        <w:jc w:val="both"/>
        <w:rPr/>
      </w:pPr>
      <w:r>
        <w:rPr>
          <w:rFonts w:ascii="Times New Roman;serif" w:hAnsi="Times New Roman;serif"/>
          <w:b w:val="false"/>
          <w:color w:val="000000"/>
          <w:sz w:val="20"/>
        </w:rPr>
        <w:t>q.</w:t>
      </w:r>
      <w:r>
        <w:rPr>
          <w:color w:val="000000"/>
        </w:rPr>
        <w:t>“</w:t>
      </w:r>
      <w:r>
        <w:rPr>
          <w:rFonts w:ascii="Times New Roman;serif" w:hAnsi="Times New Roman;serif"/>
          <w:b/>
          <w:i/>
          <w:color w:val="000000"/>
          <w:sz w:val="20"/>
        </w:rPr>
        <w:t>Method of Recovery</w:t>
      </w:r>
      <w:r>
        <w:rPr>
          <w:color w:val="000000"/>
        </w:rPr>
        <w:t xml:space="preserve">” </w:t>
      </w:r>
      <w:r>
        <w:rPr>
          <w:rFonts w:ascii="Times New Roman;serif" w:hAnsi="Times New Roman;serif"/>
          <w:b w:val="false"/>
          <w:color w:val="000000"/>
          <w:sz w:val="20"/>
        </w:rPr>
        <w:t>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pStyle w:val="TextBody"/>
        <w:bidi w:val="0"/>
        <w:spacing w:lineRule="auto" w:line="288" w:before="0" w:after="0"/>
        <w:ind w:left="0" w:right="0" w:hanging="360"/>
        <w:jc w:val="both"/>
        <w:rPr/>
      </w:pPr>
      <w:r>
        <w:rPr>
          <w:rFonts w:ascii="Times New Roman;serif" w:hAnsi="Times New Roman;serif"/>
          <w:b w:val="false"/>
          <w:color w:val="000000"/>
          <w:sz w:val="20"/>
        </w:rPr>
        <w:t>r.</w:t>
      </w:r>
      <w:r>
        <w:rPr>
          <w:color w:val="000000"/>
        </w:rPr>
        <w:t>“</w:t>
      </w:r>
      <w:r>
        <w:rPr>
          <w:rFonts w:ascii="Times New Roman;serif" w:hAnsi="Times New Roman;serif"/>
          <w:b/>
          <w:i/>
          <w:color w:val="000000"/>
          <w:sz w:val="20"/>
        </w:rPr>
        <w:t>Policy</w:t>
      </w:r>
      <w:r>
        <w:rPr>
          <w:color w:val="000000"/>
        </w:rPr>
        <w:t xml:space="preserve">” </w:t>
      </w:r>
      <w:r>
        <w:rPr>
          <w:rFonts w:ascii="Times New Roman;serif" w:hAnsi="Times New Roman;serif"/>
          <w:b w:val="false"/>
          <w:color w:val="000000"/>
          <w:sz w:val="20"/>
        </w:rPr>
        <w:t>shall mean this Clawback Policy, as the same may be amended and/or restated from time to time.</w:t>
      </w:r>
    </w:p>
    <w:p>
      <w:pPr>
        <w:pStyle w:val="TextBody"/>
        <w:bidi w:val="0"/>
        <w:spacing w:lineRule="auto" w:line="288"/>
        <w:ind w:left="0" w:right="0" w:hanging="360"/>
        <w:jc w:val="both"/>
        <w:rPr/>
      </w:pPr>
      <w:r>
        <w:rPr>
          <w:rFonts w:ascii="Times New Roman;serif" w:hAnsi="Times New Roman;serif"/>
          <w:b w:val="false"/>
          <w:color w:val="000000"/>
          <w:sz w:val="20"/>
        </w:rPr>
        <w:t>s.</w:t>
      </w:r>
      <w:r>
        <w:rPr>
          <w:color w:val="000000"/>
        </w:rPr>
        <w:t>“</w:t>
      </w:r>
      <w:r>
        <w:rPr>
          <w:rFonts w:ascii="Times New Roman;serif" w:hAnsi="Times New Roman;serif"/>
          <w:b/>
          <w:i/>
          <w:color w:val="000000"/>
          <w:sz w:val="20"/>
        </w:rPr>
        <w:t>Received</w:t>
      </w:r>
      <w:r>
        <w:rPr>
          <w:color w:val="000000"/>
        </w:rPr>
        <w:t xml:space="preserve">” </w:t>
      </w:r>
      <w:r>
        <w:rPr>
          <w:rFonts w:ascii="Times New Roman;serif" w:hAnsi="Times New Roman;serif"/>
          <w:b w:val="false"/>
          <w:color w:val="000000"/>
          <w:sz w:val="20"/>
        </w:rPr>
        <w:t>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pStyle w:val="TextBody"/>
        <w:bidi w:val="0"/>
        <w:spacing w:before="0" w:after="16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t.</w:t>
      </w:r>
      <w:r>
        <w:rPr>
          <w:color w:val="000000"/>
        </w:rPr>
        <w:t>“</w:t>
      </w:r>
      <w:r>
        <w:rPr>
          <w:rFonts w:ascii="Times New Roman;serif" w:hAnsi="Times New Roman;serif"/>
          <w:b/>
          <w:i/>
          <w:color w:val="000000"/>
          <w:sz w:val="20"/>
        </w:rPr>
        <w:t>Restatement Date</w:t>
      </w:r>
      <w:r>
        <w:rPr>
          <w:color w:val="000000"/>
        </w:rPr>
        <w:t xml:space="preserve">” </w:t>
      </w:r>
      <w:r>
        <w:rPr>
          <w:rFonts w:ascii="Times New Roman;serif" w:hAnsi="Times New Roman;serif"/>
          <w:b w:val="false"/>
          <w:color w:val="000000"/>
          <w:sz w:val="20"/>
        </w:rPr>
        <w:t>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lineRule="auto" w:line="288" w:before="0" w:after="0"/>
        <w:ind w:left="0" w:right="0" w:hanging="360"/>
        <w:jc w:val="both"/>
        <w:rPr/>
      </w:pPr>
      <w:r>
        <w:rPr>
          <w:rFonts w:ascii="Times New Roman;serif" w:hAnsi="Times New Roman;serif"/>
          <w:b w:val="false"/>
          <w:color w:val="000000"/>
          <w:sz w:val="20"/>
        </w:rPr>
        <w:t>u.</w:t>
      </w:r>
      <w:r>
        <w:rPr>
          <w:color w:val="000000"/>
        </w:rPr>
        <w:t>“</w:t>
      </w:r>
      <w:r>
        <w:rPr>
          <w:rFonts w:ascii="Times New Roman;serif" w:hAnsi="Times New Roman;serif"/>
          <w:b/>
          <w:i/>
          <w:color w:val="000000"/>
          <w:sz w:val="20"/>
        </w:rPr>
        <w:t>SEC</w:t>
      </w:r>
      <w:r>
        <w:rPr>
          <w:color w:val="000000"/>
        </w:rPr>
        <w:t xml:space="preserve">” </w:t>
      </w:r>
      <w:r>
        <w:rPr>
          <w:rFonts w:ascii="Times New Roman;serif" w:hAnsi="Times New Roman;serif"/>
          <w:b w:val="false"/>
          <w:color w:val="000000"/>
          <w:sz w:val="20"/>
        </w:rPr>
        <w:t>shall mean the U.S. Securities and Exchange Commission.</w:t>
      </w:r>
    </w:p>
    <w:p>
      <w:pPr>
        <w:pStyle w:val="TextBody"/>
        <w:bidi w:val="0"/>
        <w:spacing w:before="0" w:after="16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Repayment of Erroneously Awarded Compensation</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the Committee determines in good faith that recovery would be Impracticable. In implementing the actions contemplated in this Section 4(b), the Administrator will act in accordance with the listing standards and requirements of the Listing Exchange and with the applicable Clawback Rules.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Reporting and Disclosure</w:t>
      </w:r>
      <w:r>
        <w:rPr>
          <w:rFonts w:ascii="Times New Roman;serif" w:hAnsi="Times New Roman;serif"/>
          <w:b w:val="false"/>
          <w:color w:val="000000"/>
          <w:sz w:val="20"/>
        </w:rPr>
        <w:t>. The Company shall file all disclosures with respect to this Policy in accordance with the requirements of U.S. federal securities laws, including any disclosure required by applicable SEC rules.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Indemnification Prohibition</w:t>
      </w:r>
      <w:r>
        <w:rPr>
          <w:rFonts w:ascii="Times New Roman;serif" w:hAnsi="Times New Roman;serif"/>
          <w:b w:val="false"/>
          <w:color w:val="000000"/>
          <w:sz w:val="20"/>
        </w:rPr>
        <w:t xml:space="preserve">. The Company shall not be permitted to indemnify any Executive Officer against the loss of any Erroneously Awarded Compensation that is repaid, returned or recovered pursuant to the terms of this Policy and/or pursuant to the Clawback Rules or to pay or reimburse any Executive Officer for the cost of third-party insurance purchased by an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w:t>
      </w:r>
    </w:p>
    <w:p>
      <w:pPr>
        <w:pStyle w:val="TextBody"/>
        <w:bidi w:val="0"/>
        <w:spacing w:before="0" w:after="16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such agreement (whether entered into before, on or after the Effective Date). Any such purported indemnification (whether oral or in writing) shall be null and void.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Interpretation</w:t>
      </w:r>
      <w:r>
        <w:rPr>
          <w:rFonts w:ascii="Times New Roman;serif" w:hAnsi="Times New Roman;serif"/>
          <w:b w:val="false"/>
          <w:color w:val="000000"/>
          <w:sz w:val="20"/>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Effective Date</w:t>
      </w:r>
      <w:r>
        <w:rPr>
          <w:rFonts w:ascii="Times New Roman;serif" w:hAnsi="Times New Roman;serif"/>
          <w:b w:val="false"/>
          <w:color w:val="000000"/>
          <w:sz w:val="20"/>
        </w:rPr>
        <w:t>. This Policy shall be effective as of the Effective Date.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Amendment; Termination</w:t>
      </w:r>
      <w:r>
        <w:rPr>
          <w:rFonts w:ascii="Times New Roman;serif" w:hAnsi="Times New Roman;serif"/>
          <w:b w:val="false"/>
          <w:color w:val="000000"/>
          <w:sz w:val="20"/>
        </w:rPr>
        <w:t>. The Administrator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or Listing Exchange rule. The Administrator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Other Recoupment Rights; No Additional Payments</w:t>
      </w:r>
      <w:r>
        <w:rPr>
          <w:rFonts w:ascii="Times New Roman;serif" w:hAnsi="Times New Roman;serif"/>
          <w:b w:val="false"/>
          <w:color w:val="000000"/>
          <w:sz w:val="20"/>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pStyle w:val="TextBody"/>
        <w:bidi w:val="0"/>
        <w:spacing w:before="0" w:after="0"/>
        <w:jc w:val="both"/>
        <w:rPr/>
      </w:pPr>
      <w:r>
        <w:rPr/>
      </w:r>
    </w:p>
    <w:p>
      <w:pPr>
        <w:pStyle w:val="TextBody"/>
        <w:bidi w:val="0"/>
        <w:spacing w:lineRule="auto" w:line="288" w:before="0" w:after="160"/>
        <w:ind w:left="0" w:right="0" w:hanging="36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Successors</w:t>
      </w:r>
      <w:r>
        <w:rPr>
          <w:rFonts w:ascii="Times New Roman;serif" w:hAnsi="Times New Roman;serif"/>
          <w:b w:val="false"/>
          <w:color w:val="000000"/>
          <w:sz w:val="20"/>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tLeast" w:line="274"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before="0" w:after="0"/>
        <w:jc w:val="center"/>
        <w:rPr/>
      </w:pPr>
      <w:r>
        <w:rPr/>
      </w:r>
    </w:p>
    <w:p>
      <w:pPr>
        <w:pStyle w:val="TextBody"/>
        <w:bidi w:val="0"/>
        <w:spacing w:lineRule="atLeast" w:line="274"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74" w:before="0" w:after="0"/>
        <w:jc w:val="center"/>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before="0" w:after="0"/>
        <w:jc w:val="center"/>
        <w:rPr/>
      </w:pPr>
      <w:r>
        <w:rPr/>
      </w:r>
    </w:p>
    <w:p>
      <w:pPr>
        <w:pStyle w:val="TextBody"/>
        <w:bidi w:val="0"/>
        <w:spacing w:lineRule="atLeast" w:line="274" w:before="0" w:after="0"/>
        <w:jc w:val="center"/>
        <w:rPr>
          <w:rFonts w:ascii="Times New Roman;serif" w:hAnsi="Times New Roman;serif"/>
          <w:b/>
          <w:color w:val="000000"/>
          <w:sz w:val="20"/>
        </w:rPr>
      </w:pPr>
      <w:r>
        <w:rPr>
          <w:rFonts w:ascii="Times New Roman;serif" w:hAnsi="Times New Roman;serif"/>
          <w:b/>
          <w:color w:val="000000"/>
          <w:sz w:val="20"/>
        </w:rPr>
        <w:t>ACKNOWLEDGMENT AND ACCEPTANCE FORM</w:t>
      </w:r>
    </w:p>
    <w:p>
      <w:pPr>
        <w:pStyle w:val="TextBody"/>
        <w:bidi w:val="0"/>
        <w:spacing w:before="0" w:after="0"/>
        <w:jc w:val="center"/>
        <w:rPr/>
      </w:pPr>
      <w:r>
        <w:rPr/>
      </w:r>
    </w:p>
    <w:p>
      <w:pPr>
        <w:pStyle w:val="TextBody"/>
        <w:bidi w:val="0"/>
        <w:spacing w:lineRule="atLeast" w:line="274" w:before="0" w:after="0"/>
        <w:jc w:val="both"/>
        <w:rPr/>
      </w:pPr>
      <w:r>
        <w:rPr>
          <w:rFonts w:ascii="Times New Roman;serif" w:hAnsi="Times New Roman;serif"/>
          <w:b w:val="false"/>
          <w:color w:val="000000"/>
          <w:sz w:val="20"/>
        </w:rPr>
        <w:t>Capitalized terms used but not otherwise defined in this Acknowledgment and Acceptance Form shall have the meanings ascribed to such terms in the Solstice Advanced Materials Inc. Clawback Policy (the “</w:t>
      </w:r>
      <w:r>
        <w:rPr>
          <w:rFonts w:ascii="Times New Roman;serif" w:hAnsi="Times New Roman;serif"/>
          <w:b/>
          <w:i/>
          <w:color w:val="000000"/>
          <w:sz w:val="20"/>
        </w:rPr>
        <w:t>Policy</w:t>
      </w:r>
      <w:r>
        <w:rPr>
          <w:color w:val="000000"/>
        </w:rPr>
        <w:t>”</w:t>
      </w:r>
      <w:r>
        <w:rPr>
          <w:rFonts w:ascii="Times New Roman;serif" w:hAnsi="Times New Roman;serif"/>
          <w:b w:val="false"/>
          <w:color w:val="000000"/>
          <w:sz w:val="20"/>
        </w:rPr>
        <w:t>). By signing below, the undersigned executive officer (the “</w:t>
      </w:r>
      <w:r>
        <w:rPr>
          <w:rFonts w:ascii="Times New Roman;serif" w:hAnsi="Times New Roman;serif"/>
          <w:b/>
          <w:i/>
          <w:color w:val="000000"/>
          <w:sz w:val="20"/>
        </w:rPr>
        <w:t>Executive Officer</w:t>
      </w:r>
      <w:r>
        <w:rPr>
          <w:color w:val="000000"/>
        </w:rPr>
        <w:t>”</w:t>
      </w:r>
      <w:r>
        <w:rPr>
          <w:rFonts w:ascii="Times New Roman;serif" w:hAnsi="Times New Roman;serif"/>
          <w:b w:val="false"/>
          <w:color w:val="000000"/>
          <w:sz w:val="20"/>
        </w:rPr>
        <w:t>) acknowledges and confirms that the Executive Officer has received and reviewed a copy of the Policy and, in addition, the Executive Officer acknowledges and agrees as follows:</w:t>
      </w:r>
    </w:p>
    <w:p>
      <w:pPr>
        <w:pStyle w:val="TextBody"/>
        <w:bidi w:val="0"/>
        <w:spacing w:before="0" w:after="0"/>
        <w:jc w:val="both"/>
        <w:rPr/>
      </w:pPr>
      <w:r>
        <w:rPr/>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Executive Officer is and will continue to be subject to the Policy and that the Policy will apply both during and after the Executive Officer’s employment with the Company;</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(b)to the extent necessary to comply with the Policy, the Policy hereby amends any employment agreement, equity award agreement or similar agreement that the Executive Officer is a party to with the Company and shall apply and govern Incentive-based Compensation Received by any Executive Officer, notwithstanding any contrary or supplemental term or condition in any document, plan or agreement including, without limitation, any employment contract, indemnification agreement, equity agreement, or equity plan document;</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Executive Officer shall abide by the terms of the Policy, including, without limitation, by returning any Erroneously Awarded Compensation to the Company to the extent required by, and in a manner permitted by, the Policy;</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Company may recover compensation paid to the Executive Officer through any Method of Recovery the Administrator deems appropriate, and the Executive Officer agrees to comply with any request or demand for repayment by the Company in order to comply with the Policy;</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(g)the Company may, to the greatest extent permitted by applicable law, reduce any amount that may become payable to the Executive Officer by any amount to be recovered by the Company pursuant to the Policy to the extent such amount has not been returned by the</w:t>
      </w:r>
    </w:p>
    <w:p>
      <w:pPr>
        <w:pStyle w:val="TextBody"/>
        <w:bidi w:val="0"/>
        <w:spacing w:lineRule="atLeast" w:line="274"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(h)Executive Officer to the Company prior to the date that any subsequent amount becomes payable to the Executive Officer; and any assertion or application of any rights under federal, state, local or foreign law or in contract or equity that would otherwise conflict with or narrow the Company’s authority to interpret, apply and enforce the Policy to its fullest extent, including, but not limited to, the Company’s authority to withhold or divert my wages pursuant to the Policy, is hereby waived by the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64" w:type="dxa"/>
        <w:jc w:val="left"/>
        <w:tblInd w:w="0" w:type="dxa"/>
        <w:tblLayout w:type="fixed"/>
        <w:tblCellMar>
          <w:top w:w="28" w:type="dxa"/>
          <w:left w:w="28" w:type="dxa"/>
          <w:bottom w:w="28" w:type="dxa"/>
          <w:right w:w="28" w:type="dxa"/>
        </w:tblCellMar>
      </w:tblPr>
      <w:tblGrid>
        <w:gridCol w:w="341"/>
        <w:gridCol w:w="299"/>
        <w:gridCol w:w="424"/>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Print Name</w:t>
            </w:r>
          </w:p>
        </w:tc>
      </w:tr>
      <w:tr>
        <w:trPr/>
        <w:tc>
          <w:tcPr>
            <w:tcW w:w="106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274"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Solstice Advanced Materials Inc. Clawback Policy Acknowledgment and Acceptance Form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Solstice Advanced Materials Inc. Clawback Policy Acknowledgment and Acceptance Form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2064953/000162828025047305/exhibit21-closing8xk.htm" TargetMode="External"/><Relationship Id="rId7" Type="http://schemas.openxmlformats.org/officeDocument/2006/relationships/hyperlink" Target="https://www.sec.gov/Archives/edgar/data/2064953/000162828025047263/exhibit41-sx8.htm" TargetMode="External"/><Relationship Id="rId8" Type="http://schemas.openxmlformats.org/officeDocument/2006/relationships/hyperlink" Target="https://www.sec.gov/Archives/edgar/data/2064953/000162828025047263/exhibit42-sx8.htm" TargetMode="External"/><Relationship Id="rId9" Type="http://schemas.openxmlformats.org/officeDocument/2006/relationships/hyperlink" Target="https://www.sec.gov/Archives/edgar/data/2064953/000162828025043179/exhibit41-10x12ba1.htm" TargetMode="External"/><Relationship Id="rId10" Type="http://schemas.openxmlformats.org/officeDocument/2006/relationships/hyperlink" Target="https://www.sec.gov/Archives/edgar/data/2064953/000162828025043179/exhibit41-10x12ba1.htm" TargetMode="External"/><Relationship Id="rId11" Type="http://schemas.openxmlformats.org/officeDocument/2006/relationships/hyperlink" Target="https://www.sec.gov/Archives/edgar/data/0002064953/000162828025047305/exhibit101-closing8xk.htm" TargetMode="External"/><Relationship Id="rId12" Type="http://schemas.openxmlformats.org/officeDocument/2006/relationships/hyperlink" Target="https://www.sec.gov/Archives/edgar/data/0002064953/000162828025047305/exhibit102-closing8xk.htm" TargetMode="External"/><Relationship Id="rId13" Type="http://schemas.openxmlformats.org/officeDocument/2006/relationships/hyperlink" Target="https://www.sec.gov/Archives/edgar/data/0002064953/000162828025047305/exhibit103-closing8xk.htm" TargetMode="External"/><Relationship Id="rId14" Type="http://schemas.openxmlformats.org/officeDocument/2006/relationships/hyperlink" Target="https://www.sec.gov/Archives/edgar/data/0002064953/000162828025047305/exhibit104-closing8xk.htm" TargetMode="External"/><Relationship Id="rId15" Type="http://schemas.openxmlformats.org/officeDocument/2006/relationships/hyperlink" Target="https://www.sec.gov/Archives/edgar/data/0002064953/000162828025047305/exhibit105-closing8xk.htm" TargetMode="External"/><Relationship Id="rId16" Type="http://schemas.openxmlformats.org/officeDocument/2006/relationships/hyperlink" Target="https://www.sec.gov/Archives/edgar/data/0002064953/000162828025047305/exhibit106-closing8xk.htm" TargetMode="External"/><Relationship Id="rId17" Type="http://schemas.openxmlformats.org/officeDocument/2006/relationships/hyperlink" Target="https://www.sec.gov/Archives/edgar/data/0002064953/000162828025047305/exhibit107-closing8xk.htm" TargetMode="External"/><Relationship Id="rId18" Type="http://schemas.openxmlformats.org/officeDocument/2006/relationships/hyperlink" Target="https://www.sec.gov/Archives/edgar/data/0002064953/000162828025047305/exhibit108-closing8xk.htm" TargetMode="External"/><Relationship Id="rId19" Type="http://schemas.openxmlformats.org/officeDocument/2006/relationships/hyperlink" Target="https://www.sec.gov/Archives/edgar/data/0002064953/000162828025047305/exhibit109-closing8xk.htm" TargetMode="External"/><Relationship Id="rId20" Type="http://schemas.openxmlformats.org/officeDocument/2006/relationships/hyperlink" Target="https://www.sec.gov/Archives/edgar/data/0002064953/000162828025047305/exhibit1010-closing8xk.htm" TargetMode="External"/><Relationship Id="rId21" Type="http://schemas.openxmlformats.org/officeDocument/2006/relationships/hyperlink" Target="https://www.sec.gov/Archives/edgar/data/2064953/000206495325000006/exhibit109-form10.htm" TargetMode="External"/><Relationship Id="rId22" Type="http://schemas.openxmlformats.org/officeDocument/2006/relationships/hyperlink" Target="https://www.sec.gov/Archives/edgar/data/2064953/000206495325000006/exhibit1010-form10.htm" TargetMode="External"/><Relationship Id="rId23" Type="http://schemas.openxmlformats.org/officeDocument/2006/relationships/hyperlink" Target="https://www.sec.gov/Archives/edgar/data/2064953/000206495325000006/exhibit1011-form10.htm" TargetMode="External"/><Relationship Id="rId24" Type="http://schemas.openxmlformats.org/officeDocument/2006/relationships/hyperlink" Target="https://www.sec.gov/Archives/edgar/data/2064953/000206495325000006/exhibit1012-form10.htm" TargetMode="External"/><Relationship Id="rId25" Type="http://schemas.openxmlformats.org/officeDocument/2006/relationships/hyperlink" Target="https://www.sec.gov/Archives/edgar/data/2064953/000206495325000006/exhibit1013-form10.htm" TargetMode="External"/><Relationship Id="rId26" Type="http://schemas.openxmlformats.org/officeDocument/2006/relationships/hyperlink" Target="https://www.sec.gov/Archives/edgar/data/2064953/000206495325000006/exhibit1014-form10.htm" TargetMode="External"/><Relationship Id="rId27" Type="http://schemas.openxmlformats.org/officeDocument/2006/relationships/hyperlink" Target="https://www.sec.gov/Archives/edgar/data/2064953/000162828025047263/exhibit43-sx8.htm" TargetMode="External"/><Relationship Id="rId28" Type="http://schemas.openxmlformats.org/officeDocument/2006/relationships/hyperlink" Target="https://www.sec.gov/Archives/edgar/data/2064953/000206495325000018/exhibit1018-rsuagreementof.htm" TargetMode="External"/><Relationship Id="rId29" Type="http://schemas.openxmlformats.org/officeDocument/2006/relationships/hyperlink" Target="https://www.sec.gov/Archives/edgar/data/2064953/000206495325000018/exhibit1019-rsuagreementdi.htm" TargetMode="External"/><Relationship Id="rId30" Type="http://schemas.openxmlformats.org/officeDocument/2006/relationships/hyperlink" Target="https://www.sec.gov/Archives/edgar/data/0002064953/000162828025047305/exhibit1018-closing8xk.htm" TargetMode="External"/><Relationship Id="rId31" Type="http://schemas.openxmlformats.org/officeDocument/2006/relationships/hyperlink" Target="https://www.sec.gov/Archives/edgar/data/2064953/000206495325000018/exhibit1021-supplementalpe.htm" TargetMode="External"/><Relationship Id="rId32" Type="http://schemas.openxmlformats.org/officeDocument/2006/relationships/hyperlink" Target="https://www.sec.gov/Archives/edgar/data/2064953/000206495325000018/exhibit1022-deferredcompen.htm" TargetMode="External"/><Relationship Id="rId33" Type="http://schemas.openxmlformats.org/officeDocument/2006/relationships/image" Target="media/image5.jpeg"/><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image" Target="media/image5.jpeg"/><Relationship Id="rId37" Type="http://schemas.openxmlformats.org/officeDocument/2006/relationships/image" Target="media/image6.png"/><Relationship Id="rId38" Type="http://schemas.openxmlformats.org/officeDocument/2006/relationships/image" Target="media/image6.pn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95549</Words>
  <Characters>535590</Characters>
  <CharactersWithSpaces>627964</CharactersWithSpaces>
  <Paragraphs>5572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