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1382.xml.htm"/>
      <w:bookmarkStart w:id="1" w:name="kswkform4_17894213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Clifford Jason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SOLSTICE ADVANCED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TABOR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Solstice Advanced Materials Inc.</w:t>
              </w:r>
            </w:hyperlink>
            <w:r>
              <w:rPr/>
              <w:t xml:space="preserve"> [ </w:t>
            </w:r>
            <w:r>
              <w:rPr>
                <w:rFonts w:ascii="Times;serif" w:hAnsi="Times;serif"/>
                <w:color w:val="0000FF"/>
                <w:sz w:val="24"/>
                <w:shd w:fill="FFFFFF" w:val="clear"/>
              </w:rPr>
              <w:t>SOLS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Chief HR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Solstice Advanced Materials Inc. (the "Issuer") common stock. Fractional amounts have been rounded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in connection with the Issuer's dividend that accrue to the reporting person in RSUs that vest at the same times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33% on each of February 24, 2027 and February 24, 2028, and 34% on February 24,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will vest in equal installments on each of October 30, 2028 and October 30,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11,572 on June 2, 2026, 11,568 on June 2, 2027 and 5,834 on June 2, 2028 (in each case, not including dividend equivalent rights), subject to continued employment.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Shah for Jason M. Clifford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9079" TargetMode="External"/><Relationship Id="rId5" Type="http://schemas.openxmlformats.org/officeDocument/2006/relationships/hyperlink" Target="http://www.sec.gov/cgi-bin/browse-edgar?action=getcompany&amp;CIK=0002064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3999</Characters>
  <CharactersWithSpaces>4652</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