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1347.xml.htm"/>
      <w:bookmarkStart w:id="1" w:name="kswkform4_17894213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Barresi John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SOLSTICE ADVANCED MATERIALS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 TABOR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 PLAINS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Solstice Advanced Materials Inc.</w:t>
              </w:r>
            </w:hyperlink>
            <w:r>
              <w:rPr/>
              <w:t xml:space="preserve"> [ </w:t>
            </w:r>
            <w:r>
              <w:rPr>
                <w:rFonts w:ascii="Times;serif" w:hAnsi="Times;serif"/>
                <w:color w:val="0000FF"/>
                <w:sz w:val="24"/>
                <w:shd w:fill="FFFFFF" w:val="clear"/>
              </w:rPr>
              <w:t>SOLS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5,355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15,992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Solstice Advanced Materials Inc. (the "Issuer") common stock. Fractional amounts have been rounded to the nearest whole number.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dividend equivalent rights in connection with the Issuer's dividend that accrue to the reporting person in RSUs that vest at the same times as the underlying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will vest 33% on each of February 24, 2027 and February 24, 2028, and 34% on February 24, 2029,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8,583 on June 16, 2026, 8,579 on June 16, 2027 and 7,363 on June 16, 2028 (in each case, not including dividend equivalent rights), subject to continued employment.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Shah for John S. Barresi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8223" TargetMode="External"/><Relationship Id="rId5" Type="http://schemas.openxmlformats.org/officeDocument/2006/relationships/hyperlink" Target="http://www.sec.gov/cgi-bin/browse-edgar?action=getcompany&amp;CIK=0002064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3820</Characters>
  <CharactersWithSpaces>4447</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